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DC9" w:rsidRPr="00170C30" w:rsidRDefault="00260B8B" w:rsidP="004F3A5F">
      <w:pPr>
        <w:rPr>
          <w:b/>
          <w:sz w:val="24"/>
          <w:szCs w:val="24"/>
          <w:lang w:val="en-GB"/>
        </w:rPr>
      </w:pPr>
      <w:bookmarkStart w:id="0" w:name="_GoBack"/>
      <w:bookmarkEnd w:id="0"/>
      <w:r w:rsidRPr="00260B8B">
        <w:rPr>
          <w:b/>
          <w:sz w:val="24"/>
          <w:szCs w:val="24"/>
          <w:lang w:val="en-GB"/>
        </w:rPr>
        <w:t>Reflections on financial structure and financial stability</w:t>
      </w:r>
    </w:p>
    <w:p w:rsidR="000D0DA4" w:rsidRPr="00170C30" w:rsidRDefault="000D0DA4" w:rsidP="004F3A5F">
      <w:pPr>
        <w:rPr>
          <w:sz w:val="24"/>
          <w:szCs w:val="24"/>
          <w:lang w:val="en-GB"/>
        </w:rPr>
      </w:pPr>
    </w:p>
    <w:p w:rsidR="00207F44" w:rsidRPr="00170C30" w:rsidRDefault="00260B8B" w:rsidP="004F3A5F">
      <w:pPr>
        <w:rPr>
          <w:sz w:val="24"/>
          <w:szCs w:val="24"/>
          <w:lang w:val="en-GB"/>
        </w:rPr>
      </w:pPr>
      <w:r w:rsidRPr="00260B8B">
        <w:rPr>
          <w:sz w:val="24"/>
          <w:szCs w:val="24"/>
          <w:lang w:val="en-GB"/>
        </w:rPr>
        <w:t>In December 2009 the publication of the Basel proposals on liquidity caused a shock in the Danish financial system. The proposals - if implemented - would have resulted in a major retrenchment of the Danish financial sector as there was an insufficient amount of Danish government bonds available. Government bonds had become an endangered species because of many years of fiscal su</w:t>
      </w:r>
      <w:r w:rsidRPr="00260B8B">
        <w:rPr>
          <w:sz w:val="24"/>
          <w:szCs w:val="24"/>
          <w:lang w:val="en-GB"/>
        </w:rPr>
        <w:t>r</w:t>
      </w:r>
      <w:r w:rsidRPr="00260B8B">
        <w:rPr>
          <w:sz w:val="24"/>
          <w:szCs w:val="24"/>
          <w:lang w:val="en-GB"/>
        </w:rPr>
        <w:t>pluses. Outstanding amounts were way insufficient relative to the liquidity r</w:t>
      </w:r>
      <w:r w:rsidRPr="00260B8B">
        <w:rPr>
          <w:sz w:val="24"/>
          <w:szCs w:val="24"/>
          <w:lang w:val="en-GB"/>
        </w:rPr>
        <w:t>e</w:t>
      </w:r>
      <w:r w:rsidRPr="00260B8B">
        <w:rPr>
          <w:sz w:val="24"/>
          <w:szCs w:val="24"/>
          <w:lang w:val="en-GB"/>
        </w:rPr>
        <w:t>quirements for the Danish banks. The Danish banks had for many years i</w:t>
      </w:r>
      <w:r w:rsidRPr="00260B8B">
        <w:rPr>
          <w:sz w:val="24"/>
          <w:szCs w:val="24"/>
          <w:lang w:val="en-GB"/>
        </w:rPr>
        <w:t>n</w:t>
      </w:r>
      <w:r w:rsidRPr="00260B8B">
        <w:rPr>
          <w:sz w:val="24"/>
          <w:szCs w:val="24"/>
          <w:lang w:val="en-GB"/>
        </w:rPr>
        <w:t>stead used DKK-denominated covered bonds as the main instrument for ma</w:t>
      </w:r>
      <w:r w:rsidRPr="00260B8B">
        <w:rPr>
          <w:sz w:val="24"/>
          <w:szCs w:val="24"/>
          <w:lang w:val="en-GB"/>
        </w:rPr>
        <w:t>n</w:t>
      </w:r>
      <w:r w:rsidRPr="00260B8B">
        <w:rPr>
          <w:sz w:val="24"/>
          <w:szCs w:val="24"/>
          <w:lang w:val="en-GB"/>
        </w:rPr>
        <w:t>aging their liquidity. In turn the Danish mortgage system had been a source of stable credit to the Danish economy, generating more than half of all credit, and a rock of financial stability in the Danish financial system. During the f</w:t>
      </w:r>
      <w:r w:rsidRPr="00260B8B">
        <w:rPr>
          <w:sz w:val="24"/>
          <w:szCs w:val="24"/>
          <w:lang w:val="en-GB"/>
        </w:rPr>
        <w:t>i</w:t>
      </w:r>
      <w:r w:rsidRPr="00260B8B">
        <w:rPr>
          <w:sz w:val="24"/>
          <w:szCs w:val="24"/>
          <w:lang w:val="en-GB"/>
        </w:rPr>
        <w:t>nancial crisis, the bid-offer spreads of Danish covered bonds were on a par with or lower than those of government bonds, proving their reliability as liquid instruments. The emphasis on government bonds in the proposed Basel liquid</w:t>
      </w:r>
      <w:r w:rsidRPr="00260B8B">
        <w:rPr>
          <w:sz w:val="24"/>
          <w:szCs w:val="24"/>
          <w:lang w:val="en-GB"/>
        </w:rPr>
        <w:t>i</w:t>
      </w:r>
      <w:r w:rsidRPr="00260B8B">
        <w:rPr>
          <w:sz w:val="24"/>
          <w:szCs w:val="24"/>
          <w:lang w:val="en-GB"/>
        </w:rPr>
        <w:t>ty standards and the relegation of covered bonds to a Tier 2 liquidity status were both unwarranted and would have destroyed the Danish financial stru</w:t>
      </w:r>
      <w:r w:rsidRPr="00260B8B">
        <w:rPr>
          <w:sz w:val="24"/>
          <w:szCs w:val="24"/>
          <w:lang w:val="en-GB"/>
        </w:rPr>
        <w:t>c</w:t>
      </w:r>
      <w:r w:rsidRPr="00260B8B">
        <w:rPr>
          <w:sz w:val="24"/>
          <w:szCs w:val="24"/>
          <w:lang w:val="en-GB"/>
        </w:rPr>
        <w:t>ture.</w:t>
      </w:r>
    </w:p>
    <w:p w:rsidR="00207F44" w:rsidRPr="00170C30" w:rsidRDefault="00207F44" w:rsidP="004F3A5F">
      <w:pPr>
        <w:rPr>
          <w:sz w:val="24"/>
          <w:szCs w:val="24"/>
          <w:lang w:val="en-GB"/>
        </w:rPr>
      </w:pPr>
    </w:p>
    <w:p w:rsidR="000C6253" w:rsidRPr="00170C30" w:rsidRDefault="00260B8B" w:rsidP="004F3A5F">
      <w:pPr>
        <w:rPr>
          <w:sz w:val="24"/>
          <w:szCs w:val="24"/>
          <w:lang w:val="en-GB"/>
        </w:rPr>
      </w:pPr>
      <w:r w:rsidRPr="00260B8B">
        <w:rPr>
          <w:sz w:val="24"/>
          <w:szCs w:val="24"/>
          <w:lang w:val="en-GB"/>
        </w:rPr>
        <w:t>This paper has three objectives. First, a</w:t>
      </w:r>
      <w:r w:rsidR="009461F6">
        <w:rPr>
          <w:sz w:val="24"/>
          <w:szCs w:val="24"/>
          <w:lang w:val="en-GB"/>
        </w:rPr>
        <w:t>s</w:t>
      </w:r>
      <w:r w:rsidRPr="00260B8B">
        <w:rPr>
          <w:sz w:val="24"/>
          <w:szCs w:val="24"/>
          <w:lang w:val="en-GB"/>
        </w:rPr>
        <w:t xml:space="preserve"> a minimum, it should contribute to avoiding that the Danish financial system is once again subject to a proposal with potential</w:t>
      </w:r>
      <w:r w:rsidR="009461F6">
        <w:rPr>
          <w:sz w:val="24"/>
          <w:szCs w:val="24"/>
          <w:lang w:val="en-GB"/>
        </w:rPr>
        <w:t>ly</w:t>
      </w:r>
      <w:r w:rsidRPr="00260B8B">
        <w:rPr>
          <w:sz w:val="24"/>
          <w:szCs w:val="24"/>
          <w:lang w:val="en-GB"/>
        </w:rPr>
        <w:t xml:space="preserve"> devastating consequences because we have not </w:t>
      </w:r>
      <w:r w:rsidR="009461F6">
        <w:rPr>
          <w:sz w:val="24"/>
          <w:szCs w:val="24"/>
          <w:lang w:val="en-GB"/>
        </w:rPr>
        <w:t>adequately</w:t>
      </w:r>
      <w:r w:rsidRPr="00260B8B">
        <w:rPr>
          <w:sz w:val="24"/>
          <w:szCs w:val="24"/>
          <w:lang w:val="en-GB"/>
        </w:rPr>
        <w:t xml:space="preserve"> explained how our system works. Second, it may contribute to an understan</w:t>
      </w:r>
      <w:r w:rsidRPr="00260B8B">
        <w:rPr>
          <w:sz w:val="24"/>
          <w:szCs w:val="24"/>
          <w:lang w:val="en-GB"/>
        </w:rPr>
        <w:t>d</w:t>
      </w:r>
      <w:r w:rsidRPr="00260B8B">
        <w:rPr>
          <w:sz w:val="24"/>
          <w:szCs w:val="24"/>
          <w:lang w:val="en-GB"/>
        </w:rPr>
        <w:t>ing of aspects of the regulatory framework that are counterproductive. Third, a more ambitious objective is to provide input to discussions on how our financial structure can provide some inspiration for how to structure financial system</w:t>
      </w:r>
      <w:r w:rsidR="00695FD3">
        <w:rPr>
          <w:sz w:val="24"/>
          <w:szCs w:val="24"/>
          <w:lang w:val="en-GB"/>
        </w:rPr>
        <w:t>s</w:t>
      </w:r>
      <w:r w:rsidRPr="00260B8B">
        <w:rPr>
          <w:sz w:val="24"/>
          <w:szCs w:val="24"/>
          <w:lang w:val="en-GB"/>
        </w:rPr>
        <w:t xml:space="preserve"> in order to make </w:t>
      </w:r>
      <w:r w:rsidR="00695FD3">
        <w:rPr>
          <w:sz w:val="24"/>
          <w:szCs w:val="24"/>
          <w:lang w:val="en-GB"/>
        </w:rPr>
        <w:t>them</w:t>
      </w:r>
      <w:r w:rsidRPr="00260B8B">
        <w:rPr>
          <w:sz w:val="24"/>
          <w:szCs w:val="24"/>
          <w:lang w:val="en-GB"/>
        </w:rPr>
        <w:t xml:space="preserve"> more stable.</w:t>
      </w:r>
    </w:p>
    <w:p w:rsidR="000C6253" w:rsidRPr="00170C30" w:rsidRDefault="000C6253" w:rsidP="004F3A5F">
      <w:pPr>
        <w:rPr>
          <w:sz w:val="24"/>
          <w:szCs w:val="24"/>
          <w:lang w:val="en-GB"/>
        </w:rPr>
      </w:pPr>
    </w:p>
    <w:p w:rsidR="001D0A0C" w:rsidRPr="00170C30" w:rsidRDefault="00260B8B" w:rsidP="004F3A5F">
      <w:pPr>
        <w:rPr>
          <w:sz w:val="24"/>
          <w:szCs w:val="24"/>
          <w:lang w:val="en-GB"/>
        </w:rPr>
      </w:pPr>
      <w:r w:rsidRPr="00260B8B">
        <w:rPr>
          <w:sz w:val="24"/>
          <w:szCs w:val="24"/>
          <w:lang w:val="en-GB"/>
        </w:rPr>
        <w:t>The paper proceeds as follows. It starts by outlining a very simple model of a bank that illustrates both the growth generating potential of banks and the possible instability. The model is subsequently used to illustrate how structural changes can enhance financial stability. The Danish mortgage system is one example of how this can be done. The recent increase in issuance of covered bonds has led to concerns about structural subordination, and it is shown where these concerns are valid and where they are not. It is also shown how regulation inadvertently contributes to both structural subordination and i</w:t>
      </w:r>
      <w:r w:rsidRPr="00260B8B">
        <w:rPr>
          <w:sz w:val="24"/>
          <w:szCs w:val="24"/>
          <w:lang w:val="en-GB"/>
        </w:rPr>
        <w:t>n</w:t>
      </w:r>
      <w:r w:rsidRPr="00260B8B">
        <w:rPr>
          <w:sz w:val="24"/>
          <w:szCs w:val="24"/>
          <w:lang w:val="en-GB"/>
        </w:rPr>
        <w:t xml:space="preserve">creased liquidity risks. </w:t>
      </w:r>
      <w:r w:rsidRPr="008C5F56">
        <w:rPr>
          <w:sz w:val="24"/>
          <w:szCs w:val="24"/>
          <w:lang w:val="en-GB"/>
        </w:rPr>
        <w:t xml:space="preserve">More generally, it is argued that regulations need to be </w:t>
      </w:r>
      <w:r w:rsidRPr="008C5F56">
        <w:rPr>
          <w:sz w:val="24"/>
          <w:szCs w:val="24"/>
          <w:lang w:val="en-GB"/>
        </w:rPr>
        <w:lastRenderedPageBreak/>
        <w:t>set taking into consideration not only the objective to create greater stability in a part of the financial system, but also any potential repercussions in other parts of the financial system</w:t>
      </w:r>
      <w:r w:rsidR="008C5F56">
        <w:rPr>
          <w:sz w:val="24"/>
          <w:szCs w:val="24"/>
          <w:lang w:val="en-GB"/>
        </w:rPr>
        <w:t>,</w:t>
      </w:r>
      <w:r w:rsidRPr="008C5F56">
        <w:rPr>
          <w:sz w:val="24"/>
          <w:szCs w:val="24"/>
          <w:lang w:val="en-GB"/>
        </w:rPr>
        <w:t xml:space="preserve"> as well as the need for the financial system to take on risk in order to support growth in the economy</w:t>
      </w:r>
      <w:r w:rsidRPr="00260B8B">
        <w:rPr>
          <w:sz w:val="24"/>
          <w:szCs w:val="24"/>
          <w:lang w:val="en-GB"/>
        </w:rPr>
        <w:t>. Thus, the objective should not be to create a risk free system, but to create a system, where risk is allocated in a smart way.</w:t>
      </w:r>
    </w:p>
    <w:p w:rsidR="00F45070" w:rsidRPr="00170C30" w:rsidRDefault="00F45070" w:rsidP="004F3A5F">
      <w:pPr>
        <w:rPr>
          <w:b/>
          <w:i/>
          <w:sz w:val="24"/>
          <w:szCs w:val="24"/>
          <w:lang w:val="en-GB"/>
        </w:rPr>
      </w:pPr>
    </w:p>
    <w:p w:rsidR="000D0DA4" w:rsidRPr="00170C30" w:rsidRDefault="000D0DA4" w:rsidP="004F3A5F">
      <w:pPr>
        <w:rPr>
          <w:b/>
          <w:i/>
          <w:sz w:val="24"/>
          <w:szCs w:val="24"/>
          <w:lang w:val="en-GB"/>
        </w:rPr>
      </w:pPr>
    </w:p>
    <w:p w:rsidR="00132DC9" w:rsidRPr="00170C30" w:rsidRDefault="00260B8B" w:rsidP="004F3A5F">
      <w:pPr>
        <w:rPr>
          <w:b/>
          <w:i/>
          <w:sz w:val="24"/>
          <w:szCs w:val="24"/>
          <w:lang w:val="en-GB"/>
        </w:rPr>
      </w:pPr>
      <w:r w:rsidRPr="00260B8B">
        <w:rPr>
          <w:b/>
          <w:i/>
          <w:sz w:val="24"/>
          <w:szCs w:val="24"/>
          <w:lang w:val="en-GB"/>
        </w:rPr>
        <w:t>Financial intermediation through banks</w:t>
      </w:r>
    </w:p>
    <w:p w:rsidR="000D0DA4" w:rsidRPr="00170C30" w:rsidRDefault="000D0DA4" w:rsidP="004F3A5F">
      <w:pPr>
        <w:rPr>
          <w:sz w:val="24"/>
          <w:szCs w:val="24"/>
          <w:lang w:val="en-GB"/>
        </w:rPr>
      </w:pPr>
    </w:p>
    <w:p w:rsidR="004F3A5F" w:rsidRPr="00170C30" w:rsidRDefault="00260B8B" w:rsidP="004F3A5F">
      <w:pPr>
        <w:rPr>
          <w:sz w:val="24"/>
          <w:szCs w:val="24"/>
          <w:lang w:val="en-GB"/>
        </w:rPr>
      </w:pPr>
      <w:r w:rsidRPr="00260B8B">
        <w:rPr>
          <w:sz w:val="24"/>
          <w:szCs w:val="24"/>
          <w:lang w:val="en-GB"/>
        </w:rPr>
        <w:t>Financial intermediation can be illustrated by a balance sheet of a very simpl</w:t>
      </w:r>
      <w:r w:rsidRPr="00260B8B">
        <w:rPr>
          <w:sz w:val="24"/>
          <w:szCs w:val="24"/>
          <w:lang w:val="en-GB"/>
        </w:rPr>
        <w:t>i</w:t>
      </w:r>
      <w:r w:rsidRPr="00260B8B">
        <w:rPr>
          <w:sz w:val="24"/>
          <w:szCs w:val="24"/>
          <w:lang w:val="en-GB"/>
        </w:rPr>
        <w:t>fied bank that has deposits and capital as liabilities and loans and liquid assets as assets, cf Fig 1. This balance sheet can illustrate the benefits and risks, the externalities associated with bank failure, and a number of different ways to contain these risks, including – but not limited to – increases in capital r</w:t>
      </w:r>
      <w:r w:rsidRPr="00260B8B">
        <w:rPr>
          <w:sz w:val="24"/>
          <w:szCs w:val="24"/>
          <w:lang w:val="en-GB"/>
        </w:rPr>
        <w:t>e</w:t>
      </w:r>
      <w:r w:rsidRPr="00260B8B">
        <w:rPr>
          <w:sz w:val="24"/>
          <w:szCs w:val="24"/>
          <w:lang w:val="en-GB"/>
        </w:rPr>
        <w:t>quirements and the introduction of liquidity requirements.</w:t>
      </w:r>
    </w:p>
    <w:p w:rsidR="004F3A5F" w:rsidRPr="00170C30" w:rsidRDefault="004F3A5F" w:rsidP="004F3A5F">
      <w:pPr>
        <w:rPr>
          <w:sz w:val="24"/>
          <w:szCs w:val="24"/>
          <w:lang w:val="en-GB"/>
        </w:rPr>
      </w:pPr>
    </w:p>
    <w:p w:rsidR="00A37932" w:rsidRPr="00170C30" w:rsidRDefault="00260B8B" w:rsidP="004F3A5F">
      <w:pPr>
        <w:rPr>
          <w:i/>
          <w:sz w:val="24"/>
          <w:szCs w:val="24"/>
          <w:lang w:val="en-GB"/>
        </w:rPr>
      </w:pPr>
      <w:r w:rsidRPr="00260B8B">
        <w:rPr>
          <w:i/>
          <w:sz w:val="24"/>
          <w:szCs w:val="24"/>
          <w:lang w:val="en-GB"/>
        </w:rPr>
        <w:t>Figure 1: A simplified bank balance sheet</w:t>
      </w:r>
    </w:p>
    <w:p w:rsidR="00A37932" w:rsidRPr="00170C30" w:rsidRDefault="00A37932" w:rsidP="004F3A5F">
      <w:pPr>
        <w:rPr>
          <w:sz w:val="24"/>
          <w:szCs w:val="24"/>
          <w:lang w:val="en-GB"/>
        </w:rPr>
      </w:pPr>
    </w:p>
    <w:p w:rsidR="00A37932" w:rsidRPr="00170C30" w:rsidRDefault="002E7ADD" w:rsidP="004F3A5F">
      <w:pPr>
        <w:rPr>
          <w:sz w:val="24"/>
          <w:szCs w:val="24"/>
          <w:lang w:val="en-GB"/>
        </w:rPr>
      </w:pPr>
      <w:r>
        <w:rPr>
          <w:noProof/>
          <w:szCs w:val="24"/>
          <w:lang w:val="en-GB" w:eastAsia="en-GB"/>
        </w:rPr>
        <w:drawing>
          <wp:inline distT="0" distB="0" distL="0" distR="0">
            <wp:extent cx="3943350" cy="2009775"/>
            <wp:effectExtent l="19050" t="0" r="0" b="0"/>
            <wp:docPr id="2"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943350" cy="2009775"/>
                    </a:xfrm>
                    <a:prstGeom prst="rect">
                      <a:avLst/>
                    </a:prstGeom>
                    <a:noFill/>
                    <a:ln w="9525">
                      <a:noFill/>
                      <a:miter lim="800000"/>
                      <a:headEnd/>
                      <a:tailEnd/>
                    </a:ln>
                  </pic:spPr>
                </pic:pic>
              </a:graphicData>
            </a:graphic>
          </wp:inline>
        </w:drawing>
      </w:r>
    </w:p>
    <w:p w:rsidR="000222E3" w:rsidRPr="00170C30" w:rsidRDefault="000222E3" w:rsidP="004F3A5F">
      <w:pPr>
        <w:rPr>
          <w:sz w:val="24"/>
          <w:szCs w:val="24"/>
          <w:lang w:val="en-GB"/>
        </w:rPr>
      </w:pPr>
    </w:p>
    <w:p w:rsidR="000222E3" w:rsidRPr="00170C30" w:rsidRDefault="000222E3" w:rsidP="004F3A5F">
      <w:pPr>
        <w:rPr>
          <w:sz w:val="24"/>
          <w:szCs w:val="24"/>
          <w:lang w:val="en-GB"/>
        </w:rPr>
      </w:pPr>
    </w:p>
    <w:p w:rsidR="004F3A5F" w:rsidRPr="00170C30" w:rsidRDefault="00260B8B" w:rsidP="004F3A5F">
      <w:pPr>
        <w:rPr>
          <w:sz w:val="24"/>
          <w:szCs w:val="24"/>
          <w:lang w:val="en-GB"/>
        </w:rPr>
      </w:pPr>
      <w:r w:rsidRPr="00260B8B">
        <w:rPr>
          <w:sz w:val="24"/>
          <w:szCs w:val="24"/>
          <w:lang w:val="en-GB"/>
        </w:rPr>
        <w:t xml:space="preserve">Banks create welfare by paying interest on liquid deposits and by making loans available at </w:t>
      </w:r>
      <w:r w:rsidRPr="008C5F56">
        <w:rPr>
          <w:sz w:val="24"/>
          <w:szCs w:val="24"/>
          <w:lang w:val="en-GB"/>
        </w:rPr>
        <w:t>comparabl</w:t>
      </w:r>
      <w:r w:rsidR="009461F6" w:rsidRPr="008C5F56">
        <w:rPr>
          <w:sz w:val="24"/>
          <w:szCs w:val="24"/>
          <w:lang w:val="en-GB"/>
        </w:rPr>
        <w:t>y</w:t>
      </w:r>
      <w:r w:rsidRPr="008C5F56">
        <w:rPr>
          <w:sz w:val="24"/>
          <w:szCs w:val="24"/>
          <w:lang w:val="en-GB"/>
        </w:rPr>
        <w:t xml:space="preserve"> low rates</w:t>
      </w:r>
      <w:r w:rsidRPr="00260B8B">
        <w:rPr>
          <w:sz w:val="24"/>
          <w:szCs w:val="24"/>
          <w:lang w:val="en-GB"/>
        </w:rPr>
        <w:t xml:space="preserve"> because of the maturity transformation and credit transformation banks perform. Banks rely on the fact that normally the withdrawals and deposits more or less cancel each other out. The liquidity of deposits can thus under normal circumstances be maintained at low cost. Fu</w:t>
      </w:r>
      <w:r w:rsidRPr="00260B8B">
        <w:rPr>
          <w:sz w:val="24"/>
          <w:szCs w:val="24"/>
          <w:lang w:val="en-GB"/>
        </w:rPr>
        <w:t>r</w:t>
      </w:r>
      <w:r w:rsidRPr="00260B8B">
        <w:rPr>
          <w:sz w:val="24"/>
          <w:szCs w:val="24"/>
          <w:lang w:val="en-GB"/>
        </w:rPr>
        <w:t xml:space="preserve">thermore, banks' skill set and scale give them a comparative advantage as monitors of credit quality. </w:t>
      </w:r>
    </w:p>
    <w:p w:rsidR="004F3A5F" w:rsidRPr="00170C30" w:rsidRDefault="004F3A5F" w:rsidP="004F3A5F">
      <w:pPr>
        <w:rPr>
          <w:sz w:val="24"/>
          <w:szCs w:val="24"/>
          <w:lang w:val="en-GB"/>
        </w:rPr>
      </w:pPr>
    </w:p>
    <w:p w:rsidR="004F3A5F" w:rsidRPr="00170C30" w:rsidRDefault="00260B8B" w:rsidP="004F3A5F">
      <w:pPr>
        <w:rPr>
          <w:sz w:val="24"/>
          <w:szCs w:val="24"/>
          <w:lang w:val="en-GB"/>
        </w:rPr>
      </w:pPr>
      <w:r w:rsidRPr="00260B8B">
        <w:rPr>
          <w:sz w:val="24"/>
          <w:szCs w:val="24"/>
          <w:lang w:val="en-GB"/>
        </w:rPr>
        <w:lastRenderedPageBreak/>
        <w:t>As described by Bagehot in 1873 and modelled 110 years later by Diamond and Dybvig,</w:t>
      </w:r>
      <w:r w:rsidRPr="00260B8B">
        <w:rPr>
          <w:i/>
          <w:sz w:val="24"/>
          <w:szCs w:val="24"/>
          <w:lang w:val="en-GB"/>
        </w:rPr>
        <w:t xml:space="preserve"> </w:t>
      </w:r>
      <w:r w:rsidRPr="00260B8B">
        <w:rPr>
          <w:sz w:val="24"/>
          <w:szCs w:val="24"/>
          <w:lang w:val="en-GB"/>
        </w:rPr>
        <w:t>this is not a stable equilibrium. If a run starts, there is an ince</w:t>
      </w:r>
      <w:r w:rsidRPr="00260B8B">
        <w:rPr>
          <w:sz w:val="24"/>
          <w:szCs w:val="24"/>
          <w:lang w:val="en-GB"/>
        </w:rPr>
        <w:t>n</w:t>
      </w:r>
      <w:r w:rsidRPr="00260B8B">
        <w:rPr>
          <w:sz w:val="24"/>
          <w:szCs w:val="24"/>
          <w:lang w:val="en-GB"/>
        </w:rPr>
        <w:t>tive to be among the first that get out. Or in a slight rephrasing of Mervin King's statement, while it is not smart to start a bank run, it is definitely smart to be among the first in the pack running. The reason is that a bank is worth much more as a going concern than in a forced liquidation. The first that</w:t>
      </w:r>
      <w:r w:rsidR="00251797">
        <w:rPr>
          <w:sz w:val="24"/>
          <w:szCs w:val="24"/>
          <w:lang w:val="en-GB"/>
        </w:rPr>
        <w:t xml:space="preserve"> </w:t>
      </w:r>
      <w:r w:rsidRPr="00260B8B">
        <w:rPr>
          <w:sz w:val="24"/>
          <w:szCs w:val="24"/>
          <w:lang w:val="en-GB"/>
        </w:rPr>
        <w:t xml:space="preserve">get out get paid from the liquid assets. At some stage the less liquid loans have to be sold. In a market under pressure, that is likely to happen at prices below par. Thus the capital of the bank will be reduced. When the capital is gone, there is not enough assets left to pay the remaining depositors. A depositor with perfect foresight thus has an incentive to be among the first that get out. </w:t>
      </w:r>
    </w:p>
    <w:p w:rsidR="004F3A5F" w:rsidRPr="00170C30" w:rsidRDefault="004F3A5F" w:rsidP="004F3A5F">
      <w:pPr>
        <w:rPr>
          <w:sz w:val="24"/>
          <w:szCs w:val="24"/>
          <w:lang w:val="en-GB"/>
        </w:rPr>
      </w:pPr>
    </w:p>
    <w:p w:rsidR="004F3A5F" w:rsidRPr="00170C30" w:rsidRDefault="00260B8B" w:rsidP="004F3A5F">
      <w:pPr>
        <w:rPr>
          <w:sz w:val="24"/>
          <w:szCs w:val="24"/>
          <w:lang w:val="en-GB"/>
        </w:rPr>
      </w:pPr>
      <w:r w:rsidRPr="00260B8B">
        <w:rPr>
          <w:sz w:val="24"/>
          <w:szCs w:val="24"/>
          <w:lang w:val="en-GB"/>
        </w:rPr>
        <w:t>The failure of a bank is costly also for others than those who have contributed capital and deposits. There are negative externalities.</w:t>
      </w:r>
    </w:p>
    <w:p w:rsidR="004F3A5F" w:rsidRPr="00170C30" w:rsidRDefault="004F3A5F" w:rsidP="004F3A5F">
      <w:pPr>
        <w:rPr>
          <w:sz w:val="24"/>
          <w:szCs w:val="24"/>
          <w:lang w:val="en-GB"/>
        </w:rPr>
      </w:pPr>
    </w:p>
    <w:p w:rsidR="004F3A5F" w:rsidRPr="00170C30" w:rsidRDefault="00260B8B" w:rsidP="004F3A5F">
      <w:pPr>
        <w:rPr>
          <w:sz w:val="24"/>
          <w:szCs w:val="24"/>
          <w:lang w:val="en-GB"/>
        </w:rPr>
      </w:pPr>
      <w:r w:rsidRPr="00260B8B">
        <w:rPr>
          <w:sz w:val="24"/>
          <w:szCs w:val="24"/>
          <w:lang w:val="en-GB"/>
        </w:rPr>
        <w:t>Most countries have deposit insurance</w:t>
      </w:r>
      <w:r w:rsidR="009461F6">
        <w:rPr>
          <w:sz w:val="24"/>
          <w:szCs w:val="24"/>
          <w:lang w:val="en-GB"/>
        </w:rPr>
        <w:t xml:space="preserve"> schemes</w:t>
      </w:r>
      <w:r w:rsidRPr="00260B8B">
        <w:rPr>
          <w:sz w:val="24"/>
          <w:szCs w:val="24"/>
          <w:lang w:val="en-GB"/>
        </w:rPr>
        <w:t xml:space="preserve"> that protect ordinary depos</w:t>
      </w:r>
      <w:r w:rsidRPr="00260B8B">
        <w:rPr>
          <w:sz w:val="24"/>
          <w:szCs w:val="24"/>
          <w:lang w:val="en-GB"/>
        </w:rPr>
        <w:t>i</w:t>
      </w:r>
      <w:r w:rsidRPr="00260B8B">
        <w:rPr>
          <w:sz w:val="24"/>
          <w:szCs w:val="24"/>
          <w:lang w:val="en-GB"/>
        </w:rPr>
        <w:t xml:space="preserve">tors. The deposit insurance entails costs for those that finance the payouts. This creates negative externalities. The case for deposit insurance is twofold. One, banks' accounts are opaque, and the ordinary depositor has little chance of understanding them. Two, deposit insurance reinserts some stability into the unstable banking model by lessening the incentive to run. </w:t>
      </w:r>
    </w:p>
    <w:p w:rsidR="004F3A5F" w:rsidRPr="00170C30" w:rsidRDefault="004F3A5F" w:rsidP="004F3A5F">
      <w:pPr>
        <w:rPr>
          <w:sz w:val="24"/>
          <w:szCs w:val="24"/>
          <w:lang w:val="en-GB"/>
        </w:rPr>
      </w:pPr>
    </w:p>
    <w:p w:rsidR="004F3A5F" w:rsidRPr="00170C30" w:rsidRDefault="00260B8B" w:rsidP="004F3A5F">
      <w:pPr>
        <w:rPr>
          <w:sz w:val="24"/>
          <w:szCs w:val="24"/>
          <w:lang w:val="en-GB"/>
        </w:rPr>
      </w:pPr>
      <w:r w:rsidRPr="00260B8B">
        <w:rPr>
          <w:sz w:val="24"/>
          <w:szCs w:val="24"/>
          <w:lang w:val="en-GB"/>
        </w:rPr>
        <w:t xml:space="preserve">Bank failures also have social costs </w:t>
      </w:r>
      <w:r w:rsidRPr="008C5F56">
        <w:rPr>
          <w:sz w:val="24"/>
          <w:szCs w:val="24"/>
          <w:lang w:val="en-GB"/>
        </w:rPr>
        <w:t>as a result of credits being cut and projects abandoned</w:t>
      </w:r>
      <w:r w:rsidRPr="00260B8B">
        <w:rPr>
          <w:sz w:val="24"/>
          <w:szCs w:val="24"/>
          <w:lang w:val="en-GB"/>
        </w:rPr>
        <w:t>. Other banks have difficulties in stepping in as new lenders because of the informational asymmetries, or in banker's language the lack of credit history. In some cases</w:t>
      </w:r>
      <w:r w:rsidR="009461F6">
        <w:rPr>
          <w:sz w:val="24"/>
          <w:szCs w:val="24"/>
          <w:lang w:val="en-GB"/>
        </w:rPr>
        <w:t>,</w:t>
      </w:r>
      <w:r w:rsidRPr="00260B8B">
        <w:rPr>
          <w:sz w:val="24"/>
          <w:szCs w:val="24"/>
          <w:lang w:val="en-GB"/>
        </w:rPr>
        <w:t xml:space="preserve"> the forced liquidation of assets depresses the valuation of assets owned by other banks and starts a financial accelerator effect. Bernanke describes in his work on the Great Depression how the financial a</w:t>
      </w:r>
      <w:r w:rsidRPr="00260B8B">
        <w:rPr>
          <w:sz w:val="24"/>
          <w:szCs w:val="24"/>
          <w:lang w:val="en-GB"/>
        </w:rPr>
        <w:t>c</w:t>
      </w:r>
      <w:r w:rsidRPr="00260B8B">
        <w:rPr>
          <w:sz w:val="24"/>
          <w:szCs w:val="24"/>
          <w:lang w:val="en-GB"/>
        </w:rPr>
        <w:t xml:space="preserve">celerator drove falling collateral values and declining overall capacity of banks to lend. This, much more than losses on counterparty exposures, was a main driver of the recent financial crisis, cf Hansson et al and Shleifer and Vishny. </w:t>
      </w:r>
    </w:p>
    <w:p w:rsidR="004F3A5F" w:rsidRPr="00170C30" w:rsidRDefault="004F3A5F" w:rsidP="004F3A5F">
      <w:pPr>
        <w:rPr>
          <w:sz w:val="24"/>
          <w:szCs w:val="24"/>
          <w:lang w:val="en-GB"/>
        </w:rPr>
      </w:pPr>
    </w:p>
    <w:p w:rsidR="004F3A5F" w:rsidRPr="00170C30" w:rsidRDefault="00260B8B" w:rsidP="004F3A5F">
      <w:pPr>
        <w:rPr>
          <w:sz w:val="24"/>
          <w:szCs w:val="24"/>
          <w:lang w:val="en-GB"/>
        </w:rPr>
      </w:pPr>
      <w:r w:rsidRPr="00260B8B">
        <w:rPr>
          <w:sz w:val="24"/>
          <w:szCs w:val="24"/>
          <w:lang w:val="en-GB"/>
        </w:rPr>
        <w:t>The fact that the negative externalities can both be associated with the liability side of a financial intermediary and the asset side is very important for the d</w:t>
      </w:r>
      <w:r w:rsidRPr="00260B8B">
        <w:rPr>
          <w:sz w:val="24"/>
          <w:szCs w:val="24"/>
          <w:lang w:val="en-GB"/>
        </w:rPr>
        <w:t>e</w:t>
      </w:r>
      <w:r w:rsidRPr="00260B8B">
        <w:rPr>
          <w:sz w:val="24"/>
          <w:szCs w:val="24"/>
          <w:lang w:val="en-GB"/>
        </w:rPr>
        <w:t>sign of financial regulation. It may not be a trivial exercise to handle the neg</w:t>
      </w:r>
      <w:r w:rsidRPr="00260B8B">
        <w:rPr>
          <w:sz w:val="24"/>
          <w:szCs w:val="24"/>
          <w:lang w:val="en-GB"/>
        </w:rPr>
        <w:t>a</w:t>
      </w:r>
      <w:r w:rsidRPr="00260B8B">
        <w:rPr>
          <w:sz w:val="24"/>
          <w:szCs w:val="24"/>
          <w:lang w:val="en-GB"/>
        </w:rPr>
        <w:t>tive externalities arising from the liability side. However, it is much more co</w:t>
      </w:r>
      <w:r w:rsidRPr="00260B8B">
        <w:rPr>
          <w:sz w:val="24"/>
          <w:szCs w:val="24"/>
          <w:lang w:val="en-GB"/>
        </w:rPr>
        <w:t>m</w:t>
      </w:r>
      <w:r w:rsidRPr="00260B8B">
        <w:rPr>
          <w:sz w:val="24"/>
          <w:szCs w:val="24"/>
          <w:lang w:val="en-GB"/>
        </w:rPr>
        <w:t xml:space="preserve">plex to deal with the negative externalities arising from the asset side, cf. the EU Commission's paper on shadow banking. While the regulatory perimeter is </w:t>
      </w:r>
      <w:r w:rsidRPr="00260B8B">
        <w:rPr>
          <w:sz w:val="24"/>
          <w:szCs w:val="24"/>
          <w:lang w:val="en-GB"/>
        </w:rPr>
        <w:lastRenderedPageBreak/>
        <w:t xml:space="preserve">fairly well defined in relation to the liability side, ie deposit takers (banks), it is much wider and less well defined in relation to the asset side, the funding of the economy. </w:t>
      </w:r>
    </w:p>
    <w:p w:rsidR="004F3A5F" w:rsidRPr="00170C30" w:rsidRDefault="004F3A5F" w:rsidP="004F3A5F">
      <w:pPr>
        <w:rPr>
          <w:sz w:val="24"/>
          <w:szCs w:val="24"/>
          <w:lang w:val="en-GB"/>
        </w:rPr>
      </w:pPr>
    </w:p>
    <w:p w:rsidR="004F3A5F" w:rsidRPr="00170C30" w:rsidRDefault="00260B8B" w:rsidP="004F3A5F">
      <w:pPr>
        <w:rPr>
          <w:sz w:val="24"/>
          <w:szCs w:val="24"/>
          <w:lang w:val="en-GB"/>
        </w:rPr>
      </w:pPr>
      <w:r w:rsidRPr="00260B8B">
        <w:rPr>
          <w:sz w:val="24"/>
          <w:szCs w:val="24"/>
          <w:lang w:val="en-GB"/>
        </w:rPr>
        <w:t>It is very important to be clear on which externalities should be addressed. Measures that address the externalities associated with the liability side could unintentionally shift activity to the unregulated funding industry. The end r</w:t>
      </w:r>
      <w:r w:rsidRPr="00260B8B">
        <w:rPr>
          <w:sz w:val="24"/>
          <w:szCs w:val="24"/>
          <w:lang w:val="en-GB"/>
        </w:rPr>
        <w:t>e</w:t>
      </w:r>
      <w:r w:rsidRPr="00260B8B">
        <w:rPr>
          <w:sz w:val="24"/>
          <w:szCs w:val="24"/>
          <w:lang w:val="en-GB"/>
        </w:rPr>
        <w:t xml:space="preserve">sult could be that, while we have a safe banking system, non-banks dominate funding, which becomes very volatile. </w:t>
      </w:r>
    </w:p>
    <w:p w:rsidR="004F3A5F" w:rsidRPr="00170C30" w:rsidRDefault="004F3A5F" w:rsidP="004F3A5F">
      <w:pPr>
        <w:rPr>
          <w:sz w:val="24"/>
          <w:szCs w:val="24"/>
          <w:lang w:val="en-GB"/>
        </w:rPr>
      </w:pPr>
    </w:p>
    <w:p w:rsidR="004F3A5F" w:rsidRPr="00170C30" w:rsidRDefault="00260B8B" w:rsidP="004F3A5F">
      <w:pPr>
        <w:rPr>
          <w:sz w:val="24"/>
          <w:szCs w:val="24"/>
          <w:lang w:val="en-GB"/>
        </w:rPr>
      </w:pPr>
      <w:r w:rsidRPr="00260B8B">
        <w:rPr>
          <w:sz w:val="24"/>
          <w:szCs w:val="24"/>
          <w:lang w:val="en-GB"/>
        </w:rPr>
        <w:t>The relation between solvency and liquidity is a difficult one. Economists think of solvency as a question of whether there is any equity left. Lawyers think of solvency as a question of whether you can be expected to meet your oblig</w:t>
      </w:r>
      <w:r w:rsidRPr="00260B8B">
        <w:rPr>
          <w:sz w:val="24"/>
          <w:szCs w:val="24"/>
          <w:lang w:val="en-GB"/>
        </w:rPr>
        <w:t>a</w:t>
      </w:r>
      <w:r w:rsidRPr="00260B8B">
        <w:rPr>
          <w:sz w:val="24"/>
          <w:szCs w:val="24"/>
          <w:lang w:val="en-GB"/>
        </w:rPr>
        <w:t>tions, ie more as a question of liquidity. Prior to this crisis, many economists – but not Rochet and Vives</w:t>
      </w:r>
      <w:r w:rsidRPr="00260B8B">
        <w:rPr>
          <w:b/>
          <w:sz w:val="24"/>
          <w:szCs w:val="24"/>
          <w:lang w:val="en-GB"/>
        </w:rPr>
        <w:t xml:space="preserve"> </w:t>
      </w:r>
      <w:r w:rsidRPr="00260B8B">
        <w:rPr>
          <w:sz w:val="24"/>
          <w:szCs w:val="24"/>
          <w:lang w:val="en-GB"/>
        </w:rPr>
        <w:t xml:space="preserve">- thought that illiquidity reflected insolvency. Thus, there was deep scepticism about whether Bagehot's old advice on lending to illiquid but solvent institutions was lending to the empty set. This crisis has shown that illiquidity can lead to insolvency not only for one institution, but also through fire sales for other institutions. </w:t>
      </w:r>
    </w:p>
    <w:p w:rsidR="00AB087B" w:rsidRPr="00170C30" w:rsidRDefault="00AB087B" w:rsidP="004F3A5F">
      <w:pPr>
        <w:rPr>
          <w:sz w:val="24"/>
          <w:szCs w:val="24"/>
          <w:lang w:val="en-GB"/>
        </w:rPr>
      </w:pPr>
    </w:p>
    <w:p w:rsidR="00AB087B" w:rsidRPr="00170C30" w:rsidRDefault="00260B8B" w:rsidP="00AB087B">
      <w:pPr>
        <w:rPr>
          <w:sz w:val="24"/>
          <w:szCs w:val="24"/>
          <w:lang w:val="en-GB"/>
        </w:rPr>
      </w:pPr>
      <w:r w:rsidRPr="00260B8B">
        <w:rPr>
          <w:sz w:val="24"/>
          <w:szCs w:val="24"/>
          <w:lang w:val="en-GB"/>
        </w:rPr>
        <w:t>Thus, central banks acting as lenders of last resort and standing ready to pr</w:t>
      </w:r>
      <w:r w:rsidRPr="00260B8B">
        <w:rPr>
          <w:sz w:val="24"/>
          <w:szCs w:val="24"/>
          <w:lang w:val="en-GB"/>
        </w:rPr>
        <w:t>o</w:t>
      </w:r>
      <w:r w:rsidRPr="00260B8B">
        <w:rPr>
          <w:sz w:val="24"/>
          <w:szCs w:val="24"/>
          <w:lang w:val="en-GB"/>
        </w:rPr>
        <w:t>vide liquidity against illiquid assets, is another way of safeguarding the system. Bagehot as well as Diamond and Dybvig described this avenue. It can be a</w:t>
      </w:r>
      <w:r w:rsidRPr="00260B8B">
        <w:rPr>
          <w:sz w:val="24"/>
          <w:szCs w:val="24"/>
          <w:lang w:val="en-GB"/>
        </w:rPr>
        <w:t>r</w:t>
      </w:r>
      <w:r w:rsidRPr="00260B8B">
        <w:rPr>
          <w:sz w:val="24"/>
          <w:szCs w:val="24"/>
          <w:lang w:val="en-GB"/>
        </w:rPr>
        <w:t>gued that lender of last resort liquidity support creates moral hazard in a sim</w:t>
      </w:r>
      <w:r w:rsidRPr="00260B8B">
        <w:rPr>
          <w:sz w:val="24"/>
          <w:szCs w:val="24"/>
          <w:lang w:val="en-GB"/>
        </w:rPr>
        <w:t>i</w:t>
      </w:r>
      <w:r w:rsidRPr="00260B8B">
        <w:rPr>
          <w:sz w:val="24"/>
          <w:szCs w:val="24"/>
          <w:lang w:val="en-GB"/>
        </w:rPr>
        <w:t>lar general manner as deposit insurance. With the notable exception of the Bank of England in the early phase of the financial crisis, most central banks have seen the moral hazard issue in relation to liquidity support as a second order issue. It may play a role that the social costs of liquidity support are much lower than the costs of deposit insurance.</w:t>
      </w:r>
    </w:p>
    <w:p w:rsidR="00AB087B" w:rsidRPr="00170C30" w:rsidRDefault="00AB087B" w:rsidP="004F3A5F">
      <w:pPr>
        <w:rPr>
          <w:sz w:val="24"/>
          <w:szCs w:val="24"/>
          <w:lang w:val="en-GB"/>
        </w:rPr>
      </w:pPr>
    </w:p>
    <w:p w:rsidR="004F3A5F" w:rsidRPr="00170C30" w:rsidRDefault="00260B8B" w:rsidP="004F3A5F">
      <w:pPr>
        <w:rPr>
          <w:sz w:val="24"/>
          <w:szCs w:val="24"/>
          <w:lang w:val="en-GB"/>
        </w:rPr>
      </w:pPr>
      <w:r w:rsidRPr="00260B8B">
        <w:rPr>
          <w:sz w:val="24"/>
          <w:szCs w:val="24"/>
          <w:lang w:val="en-GB"/>
        </w:rPr>
        <w:t>Supervisors have traditionally focused on capital buffers that could cover losses on the loans, cf Fig 2. In the most recent proposals for a new regulatory framework, international liquidity standards are introduced for the first time. Liquid assets protect a bank from having to do forced selling and thereby serve as a buffer to capital.</w:t>
      </w:r>
    </w:p>
    <w:p w:rsidR="000D0DA4" w:rsidRPr="00170C30" w:rsidRDefault="000D0DA4" w:rsidP="004F3A5F">
      <w:pPr>
        <w:rPr>
          <w:sz w:val="24"/>
          <w:szCs w:val="24"/>
          <w:lang w:val="en-GB"/>
        </w:rPr>
      </w:pPr>
    </w:p>
    <w:p w:rsidR="000D0DA4" w:rsidRDefault="000D0DA4" w:rsidP="004F3A5F">
      <w:pPr>
        <w:rPr>
          <w:sz w:val="24"/>
          <w:szCs w:val="24"/>
          <w:lang w:val="en-GB"/>
        </w:rPr>
      </w:pPr>
    </w:p>
    <w:p w:rsidR="00251797" w:rsidRPr="00170C30" w:rsidRDefault="00251797" w:rsidP="004F3A5F">
      <w:pPr>
        <w:rPr>
          <w:sz w:val="24"/>
          <w:szCs w:val="24"/>
          <w:lang w:val="en-GB"/>
        </w:rPr>
      </w:pPr>
    </w:p>
    <w:p w:rsidR="00A37932" w:rsidRPr="00170C30" w:rsidRDefault="00260B8B" w:rsidP="004F3A5F">
      <w:pPr>
        <w:rPr>
          <w:i/>
          <w:sz w:val="24"/>
          <w:szCs w:val="24"/>
          <w:lang w:val="en-GB"/>
        </w:rPr>
      </w:pPr>
      <w:r w:rsidRPr="00260B8B">
        <w:rPr>
          <w:i/>
          <w:sz w:val="24"/>
          <w:szCs w:val="24"/>
          <w:lang w:val="en-GB"/>
        </w:rPr>
        <w:t>Figure 2: Banking regulation 101</w:t>
      </w:r>
    </w:p>
    <w:p w:rsidR="00A37932" w:rsidRPr="00170C30" w:rsidRDefault="00A37932" w:rsidP="004F3A5F">
      <w:pPr>
        <w:rPr>
          <w:sz w:val="24"/>
          <w:szCs w:val="24"/>
          <w:lang w:val="en-GB"/>
        </w:rPr>
      </w:pPr>
    </w:p>
    <w:p w:rsidR="00A37932" w:rsidRPr="00170C30" w:rsidRDefault="002E7ADD" w:rsidP="004F3A5F">
      <w:pPr>
        <w:rPr>
          <w:sz w:val="24"/>
          <w:szCs w:val="24"/>
          <w:lang w:val="en-GB"/>
        </w:rPr>
      </w:pPr>
      <w:r>
        <w:rPr>
          <w:noProof/>
          <w:szCs w:val="24"/>
          <w:lang w:val="en-GB" w:eastAsia="en-GB"/>
        </w:rPr>
        <w:drawing>
          <wp:inline distT="0" distB="0" distL="0" distR="0">
            <wp:extent cx="3629025" cy="2028825"/>
            <wp:effectExtent l="19050" t="0" r="9525"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3629025" cy="2028825"/>
                    </a:xfrm>
                    <a:prstGeom prst="rect">
                      <a:avLst/>
                    </a:prstGeom>
                    <a:noFill/>
                    <a:ln w="9525">
                      <a:noFill/>
                      <a:miter lim="800000"/>
                      <a:headEnd/>
                      <a:tailEnd/>
                    </a:ln>
                  </pic:spPr>
                </pic:pic>
              </a:graphicData>
            </a:graphic>
          </wp:inline>
        </w:drawing>
      </w:r>
    </w:p>
    <w:p w:rsidR="000222E3" w:rsidRPr="00170C30" w:rsidRDefault="000222E3" w:rsidP="004F3A5F">
      <w:pPr>
        <w:rPr>
          <w:b/>
          <w:i/>
          <w:sz w:val="24"/>
          <w:szCs w:val="24"/>
          <w:lang w:val="en-GB"/>
        </w:rPr>
      </w:pPr>
    </w:p>
    <w:p w:rsidR="000D0DA4" w:rsidRPr="00170C30" w:rsidRDefault="000D0DA4" w:rsidP="004F3A5F">
      <w:pPr>
        <w:rPr>
          <w:b/>
          <w:i/>
          <w:sz w:val="24"/>
          <w:szCs w:val="24"/>
          <w:lang w:val="en-GB"/>
        </w:rPr>
      </w:pPr>
    </w:p>
    <w:p w:rsidR="00A37932" w:rsidRPr="00170C30" w:rsidRDefault="00260B8B" w:rsidP="004F3A5F">
      <w:pPr>
        <w:rPr>
          <w:b/>
          <w:i/>
          <w:sz w:val="24"/>
          <w:szCs w:val="24"/>
          <w:lang w:val="en-GB"/>
        </w:rPr>
      </w:pPr>
      <w:r w:rsidRPr="00260B8B">
        <w:rPr>
          <w:b/>
          <w:i/>
          <w:sz w:val="24"/>
          <w:szCs w:val="24"/>
          <w:lang w:val="en-GB"/>
        </w:rPr>
        <w:t>Structural measures</w:t>
      </w:r>
    </w:p>
    <w:p w:rsidR="000D0DA4" w:rsidRPr="00170C30" w:rsidRDefault="000D0DA4" w:rsidP="00A37932">
      <w:pPr>
        <w:rPr>
          <w:sz w:val="24"/>
          <w:szCs w:val="24"/>
          <w:lang w:val="en-GB"/>
        </w:rPr>
      </w:pPr>
    </w:p>
    <w:p w:rsidR="00A37932" w:rsidRPr="00170C30" w:rsidRDefault="00260B8B" w:rsidP="00A37932">
      <w:pPr>
        <w:rPr>
          <w:sz w:val="24"/>
          <w:szCs w:val="24"/>
          <w:lang w:val="en-GB"/>
        </w:rPr>
      </w:pPr>
      <w:r w:rsidRPr="00260B8B">
        <w:rPr>
          <w:sz w:val="24"/>
          <w:szCs w:val="24"/>
          <w:lang w:val="en-GB"/>
        </w:rPr>
        <w:t xml:space="preserve">There are many ways to address the inherent risks of banks. Looking at the simplified balance sheet, there are more handles that can be adjusted than are usually being considered. </w:t>
      </w:r>
    </w:p>
    <w:p w:rsidR="004F3A5F" w:rsidRPr="00170C30" w:rsidRDefault="004F3A5F" w:rsidP="004F3A5F">
      <w:pPr>
        <w:rPr>
          <w:sz w:val="24"/>
          <w:szCs w:val="24"/>
          <w:lang w:val="en-GB"/>
        </w:rPr>
      </w:pPr>
    </w:p>
    <w:p w:rsidR="004F3A5F" w:rsidRPr="00170C30" w:rsidRDefault="00260B8B" w:rsidP="004F3A5F">
      <w:pPr>
        <w:rPr>
          <w:sz w:val="24"/>
          <w:szCs w:val="24"/>
          <w:lang w:val="en-GB"/>
        </w:rPr>
      </w:pPr>
      <w:r w:rsidRPr="00260B8B">
        <w:rPr>
          <w:sz w:val="24"/>
          <w:szCs w:val="24"/>
          <w:lang w:val="en-GB"/>
        </w:rPr>
        <w:t>Narrow banking is another possibility, cf Fig 3. In narrow banking the assets of banks are restricted; in the most restrictive version to short-term government bonds, ie there are no loans in the simplified balance sheet, and these will have to be granted by other institutions. In less restrictive versions, only ce</w:t>
      </w:r>
      <w:r w:rsidRPr="00260B8B">
        <w:rPr>
          <w:sz w:val="24"/>
          <w:szCs w:val="24"/>
          <w:lang w:val="en-GB"/>
        </w:rPr>
        <w:t>r</w:t>
      </w:r>
      <w:r w:rsidRPr="00260B8B">
        <w:rPr>
          <w:sz w:val="24"/>
          <w:szCs w:val="24"/>
          <w:lang w:val="en-GB"/>
        </w:rPr>
        <w:t>tain assets or activities are "no go". The Volcker rule and the recommendations of the Independent Commission on Banking (Vickers Commission) are exa</w:t>
      </w:r>
      <w:r w:rsidRPr="00260B8B">
        <w:rPr>
          <w:sz w:val="24"/>
          <w:szCs w:val="24"/>
          <w:lang w:val="en-GB"/>
        </w:rPr>
        <w:t>m</w:t>
      </w:r>
      <w:r w:rsidRPr="00260B8B">
        <w:rPr>
          <w:sz w:val="24"/>
          <w:szCs w:val="24"/>
          <w:lang w:val="en-GB"/>
        </w:rPr>
        <w:t>ples of such less restrictive versions. Both the Volcker rule and the recomme</w:t>
      </w:r>
      <w:r w:rsidRPr="00260B8B">
        <w:rPr>
          <w:sz w:val="24"/>
          <w:szCs w:val="24"/>
          <w:lang w:val="en-GB"/>
        </w:rPr>
        <w:t>n</w:t>
      </w:r>
      <w:r w:rsidRPr="00260B8B">
        <w:rPr>
          <w:sz w:val="24"/>
          <w:szCs w:val="24"/>
          <w:lang w:val="en-GB"/>
        </w:rPr>
        <w:t>dations of the Vickers Commission face difficult delineation issues. What co</w:t>
      </w:r>
      <w:r w:rsidRPr="00260B8B">
        <w:rPr>
          <w:sz w:val="24"/>
          <w:szCs w:val="24"/>
          <w:lang w:val="en-GB"/>
        </w:rPr>
        <w:t>n</w:t>
      </w:r>
      <w:r w:rsidRPr="00260B8B">
        <w:rPr>
          <w:sz w:val="24"/>
          <w:szCs w:val="24"/>
          <w:lang w:val="en-GB"/>
        </w:rPr>
        <w:t>stitutes proprietary trading and what is retail banking? Presumably the latter will include mortgages and their financing and thereby the very significant m</w:t>
      </w:r>
      <w:r w:rsidRPr="00260B8B">
        <w:rPr>
          <w:sz w:val="24"/>
          <w:szCs w:val="24"/>
          <w:lang w:val="en-GB"/>
        </w:rPr>
        <w:t>a</w:t>
      </w:r>
      <w:r w:rsidRPr="00260B8B">
        <w:rPr>
          <w:sz w:val="24"/>
          <w:szCs w:val="24"/>
          <w:lang w:val="en-GB"/>
        </w:rPr>
        <w:t>turity transformation associated with mortgages.</w:t>
      </w:r>
    </w:p>
    <w:p w:rsidR="004F3A5F" w:rsidRPr="00170C30" w:rsidRDefault="004F3A5F" w:rsidP="004F3A5F">
      <w:pPr>
        <w:rPr>
          <w:sz w:val="24"/>
          <w:szCs w:val="24"/>
          <w:lang w:val="en-GB"/>
        </w:rPr>
      </w:pPr>
    </w:p>
    <w:p w:rsidR="000D0DA4" w:rsidRDefault="000D0DA4" w:rsidP="004F3A5F">
      <w:pPr>
        <w:rPr>
          <w:i/>
          <w:sz w:val="24"/>
          <w:szCs w:val="24"/>
          <w:lang w:val="en-GB"/>
        </w:rPr>
      </w:pPr>
    </w:p>
    <w:p w:rsidR="00251797" w:rsidRDefault="00251797" w:rsidP="004F3A5F">
      <w:pPr>
        <w:rPr>
          <w:i/>
          <w:sz w:val="24"/>
          <w:szCs w:val="24"/>
          <w:lang w:val="en-GB"/>
        </w:rPr>
      </w:pPr>
    </w:p>
    <w:p w:rsidR="004F7FCC" w:rsidRDefault="004F7FCC" w:rsidP="004F3A5F">
      <w:pPr>
        <w:rPr>
          <w:i/>
          <w:sz w:val="24"/>
          <w:szCs w:val="24"/>
          <w:lang w:val="en-GB"/>
        </w:rPr>
      </w:pPr>
    </w:p>
    <w:p w:rsidR="004F7FCC" w:rsidRDefault="004F7FCC" w:rsidP="004F3A5F">
      <w:pPr>
        <w:rPr>
          <w:i/>
          <w:sz w:val="24"/>
          <w:szCs w:val="24"/>
          <w:lang w:val="en-GB"/>
        </w:rPr>
      </w:pPr>
    </w:p>
    <w:p w:rsidR="004F7FCC" w:rsidRDefault="004F7FCC" w:rsidP="004F3A5F">
      <w:pPr>
        <w:rPr>
          <w:i/>
          <w:sz w:val="24"/>
          <w:szCs w:val="24"/>
          <w:lang w:val="en-GB"/>
        </w:rPr>
      </w:pPr>
    </w:p>
    <w:p w:rsidR="004F7FCC" w:rsidRDefault="004F7FCC" w:rsidP="004F3A5F">
      <w:pPr>
        <w:rPr>
          <w:i/>
          <w:sz w:val="24"/>
          <w:szCs w:val="24"/>
          <w:lang w:val="en-GB"/>
        </w:rPr>
      </w:pPr>
    </w:p>
    <w:p w:rsidR="004F7FCC" w:rsidRPr="00170C30" w:rsidRDefault="004F7FCC" w:rsidP="004F3A5F">
      <w:pPr>
        <w:rPr>
          <w:i/>
          <w:sz w:val="24"/>
          <w:szCs w:val="24"/>
          <w:lang w:val="en-GB"/>
        </w:rPr>
      </w:pPr>
    </w:p>
    <w:p w:rsidR="00A37932" w:rsidRPr="00170C30" w:rsidRDefault="00260B8B" w:rsidP="004F3A5F">
      <w:pPr>
        <w:rPr>
          <w:i/>
          <w:sz w:val="24"/>
          <w:szCs w:val="24"/>
          <w:lang w:val="en-GB"/>
        </w:rPr>
      </w:pPr>
      <w:r w:rsidRPr="00260B8B">
        <w:rPr>
          <w:i/>
          <w:sz w:val="24"/>
          <w:szCs w:val="24"/>
          <w:lang w:val="en-GB"/>
        </w:rPr>
        <w:t>Figure 3: Narrow banking</w:t>
      </w:r>
    </w:p>
    <w:p w:rsidR="00A37932" w:rsidRPr="00170C30" w:rsidRDefault="00A37932" w:rsidP="004F3A5F">
      <w:pPr>
        <w:rPr>
          <w:sz w:val="24"/>
          <w:szCs w:val="24"/>
          <w:lang w:val="en-GB"/>
        </w:rPr>
      </w:pPr>
    </w:p>
    <w:p w:rsidR="00A423C9" w:rsidRPr="00170C30" w:rsidRDefault="002E7ADD" w:rsidP="004F3A5F">
      <w:pPr>
        <w:rPr>
          <w:sz w:val="24"/>
          <w:szCs w:val="24"/>
          <w:lang w:val="en-GB"/>
        </w:rPr>
      </w:pPr>
      <w:r>
        <w:rPr>
          <w:noProof/>
          <w:szCs w:val="24"/>
          <w:lang w:val="en-GB" w:eastAsia="en-GB"/>
        </w:rPr>
        <w:drawing>
          <wp:inline distT="0" distB="0" distL="0" distR="0">
            <wp:extent cx="6120130" cy="1914150"/>
            <wp:effectExtent l="19050" t="0" r="0" b="0"/>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6120130" cy="1914150"/>
                    </a:xfrm>
                    <a:prstGeom prst="rect">
                      <a:avLst/>
                    </a:prstGeom>
                    <a:noFill/>
                    <a:ln w="9525">
                      <a:noFill/>
                      <a:miter lim="800000"/>
                      <a:headEnd/>
                      <a:tailEnd/>
                    </a:ln>
                  </pic:spPr>
                </pic:pic>
              </a:graphicData>
            </a:graphic>
          </wp:inline>
        </w:drawing>
      </w:r>
    </w:p>
    <w:p w:rsidR="00A37932" w:rsidRPr="00170C30" w:rsidRDefault="00A37932" w:rsidP="004F3A5F">
      <w:pPr>
        <w:rPr>
          <w:sz w:val="24"/>
          <w:szCs w:val="24"/>
          <w:lang w:val="en-GB"/>
        </w:rPr>
      </w:pPr>
    </w:p>
    <w:p w:rsidR="004F3A5F" w:rsidRPr="00170C30" w:rsidRDefault="00260B8B" w:rsidP="004F3A5F">
      <w:pPr>
        <w:rPr>
          <w:sz w:val="24"/>
          <w:szCs w:val="24"/>
          <w:lang w:val="en-GB"/>
        </w:rPr>
      </w:pPr>
      <w:r w:rsidRPr="00260B8B">
        <w:rPr>
          <w:sz w:val="24"/>
          <w:szCs w:val="24"/>
          <w:lang w:val="en-GB"/>
        </w:rPr>
        <w:t>The risks can also be reduced by changing the deposit contract, cf Fig 4. The deposit contract can be made similar to mutual funds, as earlier proposed by others, where you have the right to a share of the pie rather than a fixed amount. The practical difficulty is to value the pie. The run on the mutual funds during the financial crisis and the stigma associated with breaking the buck a</w:t>
      </w:r>
      <w:r w:rsidRPr="00260B8B">
        <w:rPr>
          <w:sz w:val="24"/>
          <w:szCs w:val="24"/>
          <w:lang w:val="en-GB"/>
        </w:rPr>
        <w:t>l</w:t>
      </w:r>
      <w:r w:rsidRPr="00260B8B">
        <w:rPr>
          <w:sz w:val="24"/>
          <w:szCs w:val="24"/>
          <w:lang w:val="en-GB"/>
        </w:rPr>
        <w:t>so suggest that the model was not as watertight as some thought. However, valuing the assets could be left to the markets if there is no possibility of r</w:t>
      </w:r>
      <w:r w:rsidRPr="00260B8B">
        <w:rPr>
          <w:sz w:val="24"/>
          <w:szCs w:val="24"/>
          <w:lang w:val="en-GB"/>
        </w:rPr>
        <w:t>e</w:t>
      </w:r>
      <w:r w:rsidRPr="00260B8B">
        <w:rPr>
          <w:sz w:val="24"/>
          <w:szCs w:val="24"/>
          <w:lang w:val="en-GB"/>
        </w:rPr>
        <w:t>demption, ie if it is a closed fund.</w:t>
      </w:r>
    </w:p>
    <w:p w:rsidR="004F3A5F" w:rsidRPr="00170C30" w:rsidRDefault="004F3A5F" w:rsidP="004F3A5F">
      <w:pPr>
        <w:rPr>
          <w:sz w:val="24"/>
          <w:szCs w:val="24"/>
          <w:lang w:val="en-GB"/>
        </w:rPr>
      </w:pPr>
    </w:p>
    <w:p w:rsidR="00AB087B" w:rsidRPr="00170C30" w:rsidRDefault="00260B8B" w:rsidP="004F3A5F">
      <w:pPr>
        <w:rPr>
          <w:i/>
          <w:sz w:val="24"/>
          <w:szCs w:val="24"/>
          <w:lang w:val="en-GB"/>
        </w:rPr>
      </w:pPr>
      <w:r w:rsidRPr="00260B8B">
        <w:rPr>
          <w:i/>
          <w:sz w:val="24"/>
          <w:szCs w:val="24"/>
          <w:lang w:val="en-GB"/>
        </w:rPr>
        <w:t>Figure 4: The mutual fund model</w:t>
      </w:r>
    </w:p>
    <w:p w:rsidR="00AB087B" w:rsidRPr="00170C30" w:rsidRDefault="002E7ADD" w:rsidP="004F3A5F">
      <w:pPr>
        <w:rPr>
          <w:sz w:val="24"/>
          <w:szCs w:val="24"/>
          <w:lang w:val="en-GB"/>
        </w:rPr>
      </w:pPr>
      <w:r>
        <w:rPr>
          <w:noProof/>
          <w:szCs w:val="24"/>
          <w:lang w:val="en-GB" w:eastAsia="en-GB"/>
        </w:rPr>
        <w:drawing>
          <wp:inline distT="0" distB="0" distL="0" distR="0">
            <wp:extent cx="3895725" cy="2181225"/>
            <wp:effectExtent l="19050" t="0" r="9525" b="0"/>
            <wp:docPr id="3"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3895725" cy="2181225"/>
                    </a:xfrm>
                    <a:prstGeom prst="rect">
                      <a:avLst/>
                    </a:prstGeom>
                    <a:noFill/>
                    <a:ln w="9525">
                      <a:noFill/>
                      <a:miter lim="800000"/>
                      <a:headEnd/>
                      <a:tailEnd/>
                    </a:ln>
                  </pic:spPr>
                </pic:pic>
              </a:graphicData>
            </a:graphic>
          </wp:inline>
        </w:drawing>
      </w:r>
    </w:p>
    <w:p w:rsidR="00A423C9" w:rsidRPr="00170C30" w:rsidRDefault="00A423C9" w:rsidP="004F3A5F">
      <w:pPr>
        <w:rPr>
          <w:sz w:val="24"/>
          <w:szCs w:val="24"/>
          <w:lang w:val="en-GB"/>
        </w:rPr>
      </w:pPr>
    </w:p>
    <w:p w:rsidR="004F3A5F" w:rsidRPr="00170C30" w:rsidRDefault="00260B8B" w:rsidP="004F3A5F">
      <w:pPr>
        <w:rPr>
          <w:sz w:val="24"/>
          <w:szCs w:val="24"/>
          <w:lang w:val="en-GB"/>
        </w:rPr>
      </w:pPr>
      <w:r w:rsidRPr="00260B8B">
        <w:rPr>
          <w:sz w:val="24"/>
          <w:szCs w:val="24"/>
          <w:lang w:val="en-GB"/>
        </w:rPr>
        <w:t>The riskiness of the bank structure also depends on the more general design of the surrounding economy. If creditor protection is limited, defaults on loans are more likely and the costs in case of default will be higher. Similarly, a s</w:t>
      </w:r>
      <w:r w:rsidRPr="00260B8B">
        <w:rPr>
          <w:sz w:val="24"/>
          <w:szCs w:val="24"/>
          <w:lang w:val="en-GB"/>
        </w:rPr>
        <w:t>o</w:t>
      </w:r>
      <w:r w:rsidRPr="00260B8B">
        <w:rPr>
          <w:sz w:val="24"/>
          <w:szCs w:val="24"/>
          <w:lang w:val="en-GB"/>
        </w:rPr>
        <w:t xml:space="preserve">cial safety net lowers risks of default and costs. </w:t>
      </w:r>
      <w:r w:rsidRPr="002864FA">
        <w:rPr>
          <w:i/>
          <w:sz w:val="24"/>
          <w:szCs w:val="24"/>
          <w:lang w:val="en-US"/>
        </w:rPr>
        <w:t>La</w:t>
      </w:r>
      <w:r w:rsidR="008C5F56">
        <w:rPr>
          <w:i/>
          <w:sz w:val="24"/>
          <w:szCs w:val="24"/>
          <w:lang w:val="en-US"/>
        </w:rPr>
        <w:t>P</w:t>
      </w:r>
      <w:r w:rsidRPr="00260B8B">
        <w:rPr>
          <w:sz w:val="24"/>
          <w:szCs w:val="24"/>
          <w:lang w:val="en-GB"/>
        </w:rPr>
        <w:t>orta et al</w:t>
      </w:r>
      <w:r w:rsidRPr="00260B8B">
        <w:rPr>
          <w:i/>
          <w:sz w:val="24"/>
          <w:szCs w:val="24"/>
          <w:lang w:val="en-GB"/>
        </w:rPr>
        <w:t xml:space="preserve"> </w:t>
      </w:r>
      <w:r w:rsidRPr="00260B8B">
        <w:rPr>
          <w:sz w:val="24"/>
          <w:szCs w:val="24"/>
          <w:lang w:val="en-GB"/>
        </w:rPr>
        <w:t xml:space="preserve">are among those who have worked on these aspects. </w:t>
      </w:r>
    </w:p>
    <w:p w:rsidR="00AB087B" w:rsidRPr="00170C30" w:rsidRDefault="00260B8B" w:rsidP="004F3A5F">
      <w:pPr>
        <w:rPr>
          <w:b/>
          <w:i/>
          <w:sz w:val="24"/>
          <w:szCs w:val="24"/>
          <w:lang w:val="en-GB"/>
        </w:rPr>
      </w:pPr>
      <w:r w:rsidRPr="00260B8B">
        <w:rPr>
          <w:b/>
          <w:i/>
          <w:sz w:val="24"/>
          <w:szCs w:val="24"/>
          <w:lang w:val="en-GB"/>
        </w:rPr>
        <w:t>The specialised mortgage banks</w:t>
      </w:r>
    </w:p>
    <w:p w:rsidR="000D0DA4" w:rsidRPr="00170C30" w:rsidRDefault="000D0DA4" w:rsidP="004F3A5F">
      <w:pPr>
        <w:rPr>
          <w:sz w:val="24"/>
          <w:szCs w:val="24"/>
          <w:lang w:val="en-GB"/>
        </w:rPr>
      </w:pPr>
    </w:p>
    <w:p w:rsidR="004F3A5F" w:rsidRPr="00170C30" w:rsidRDefault="00260B8B" w:rsidP="004F3A5F">
      <w:pPr>
        <w:rPr>
          <w:sz w:val="24"/>
          <w:szCs w:val="24"/>
          <w:lang w:val="en-GB"/>
        </w:rPr>
      </w:pPr>
      <w:r w:rsidRPr="00260B8B">
        <w:rPr>
          <w:sz w:val="24"/>
          <w:szCs w:val="24"/>
          <w:lang w:val="en-GB"/>
        </w:rPr>
        <w:t>The specialised mortgage system that exists in a number of European cou</w:t>
      </w:r>
      <w:r w:rsidRPr="00260B8B">
        <w:rPr>
          <w:sz w:val="24"/>
          <w:szCs w:val="24"/>
          <w:lang w:val="en-GB"/>
        </w:rPr>
        <w:t>n</w:t>
      </w:r>
      <w:r w:rsidRPr="00260B8B">
        <w:rPr>
          <w:sz w:val="24"/>
          <w:szCs w:val="24"/>
          <w:lang w:val="en-GB"/>
        </w:rPr>
        <w:t>tries, including Denmark, combines some of these features with a balance principle that makes it a very "dull" system, cf Fig 5. These days, "dull</w:t>
      </w:r>
      <w:r w:rsidR="004F7FCC">
        <w:rPr>
          <w:sz w:val="24"/>
          <w:szCs w:val="24"/>
          <w:lang w:val="en-GB"/>
        </w:rPr>
        <w:t>"</w:t>
      </w:r>
      <w:r w:rsidRPr="00260B8B">
        <w:rPr>
          <w:sz w:val="24"/>
          <w:szCs w:val="24"/>
          <w:lang w:val="en-GB"/>
        </w:rPr>
        <w:t xml:space="preserve"> is a plus word as it implies safe. </w:t>
      </w:r>
    </w:p>
    <w:p w:rsidR="00AB087B" w:rsidRPr="00170C30" w:rsidRDefault="00AB087B" w:rsidP="004F3A5F">
      <w:pPr>
        <w:rPr>
          <w:sz w:val="24"/>
          <w:szCs w:val="24"/>
          <w:lang w:val="en-GB"/>
        </w:rPr>
      </w:pPr>
    </w:p>
    <w:p w:rsidR="00AB087B" w:rsidRPr="00170C30" w:rsidRDefault="00260B8B" w:rsidP="004F3A5F">
      <w:pPr>
        <w:rPr>
          <w:i/>
          <w:sz w:val="24"/>
          <w:szCs w:val="24"/>
          <w:lang w:val="en-GB"/>
        </w:rPr>
      </w:pPr>
      <w:r w:rsidRPr="00260B8B">
        <w:rPr>
          <w:i/>
          <w:sz w:val="24"/>
          <w:szCs w:val="24"/>
          <w:lang w:val="en-GB"/>
        </w:rPr>
        <w:t>Figure 5: The speciali</w:t>
      </w:r>
      <w:r w:rsidR="004F7FCC">
        <w:rPr>
          <w:i/>
          <w:sz w:val="24"/>
          <w:szCs w:val="24"/>
          <w:lang w:val="en-GB"/>
        </w:rPr>
        <w:t>s</w:t>
      </w:r>
      <w:r w:rsidRPr="00260B8B">
        <w:rPr>
          <w:i/>
          <w:sz w:val="24"/>
          <w:szCs w:val="24"/>
          <w:lang w:val="en-GB"/>
        </w:rPr>
        <w:t>ed mortgage bank</w:t>
      </w:r>
    </w:p>
    <w:p w:rsidR="000D0DA4" w:rsidRPr="00170C30" w:rsidRDefault="000D0DA4" w:rsidP="004F3A5F">
      <w:pPr>
        <w:rPr>
          <w:i/>
          <w:sz w:val="24"/>
          <w:szCs w:val="24"/>
          <w:lang w:val="en-GB"/>
        </w:rPr>
      </w:pPr>
    </w:p>
    <w:p w:rsidR="004F3A5F" w:rsidRPr="00170C30" w:rsidRDefault="002E7ADD" w:rsidP="004F3A5F">
      <w:pPr>
        <w:rPr>
          <w:sz w:val="24"/>
          <w:szCs w:val="24"/>
          <w:lang w:val="en-GB"/>
        </w:rPr>
      </w:pPr>
      <w:r>
        <w:rPr>
          <w:noProof/>
          <w:szCs w:val="24"/>
          <w:lang w:val="en-GB" w:eastAsia="en-GB"/>
        </w:rPr>
        <w:drawing>
          <wp:inline distT="0" distB="0" distL="0" distR="0">
            <wp:extent cx="3619500" cy="2209800"/>
            <wp:effectExtent l="19050" t="0" r="0" b="0"/>
            <wp:docPr id="13" name="Bille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srcRect/>
                    <a:stretch>
                      <a:fillRect/>
                    </a:stretch>
                  </pic:blipFill>
                  <pic:spPr bwMode="auto">
                    <a:xfrm>
                      <a:off x="0" y="0"/>
                      <a:ext cx="3619500" cy="2209800"/>
                    </a:xfrm>
                    <a:prstGeom prst="rect">
                      <a:avLst/>
                    </a:prstGeom>
                    <a:noFill/>
                    <a:ln w="9525">
                      <a:noFill/>
                      <a:miter lim="800000"/>
                      <a:headEnd/>
                      <a:tailEnd/>
                    </a:ln>
                  </pic:spPr>
                </pic:pic>
              </a:graphicData>
            </a:graphic>
          </wp:inline>
        </w:drawing>
      </w:r>
    </w:p>
    <w:p w:rsidR="004F3A5F" w:rsidRPr="00170C30" w:rsidRDefault="00260B8B" w:rsidP="004F3A5F">
      <w:pPr>
        <w:rPr>
          <w:sz w:val="24"/>
          <w:szCs w:val="24"/>
          <w:lang w:val="en-GB"/>
        </w:rPr>
      </w:pPr>
      <w:r w:rsidRPr="00260B8B">
        <w:rPr>
          <w:sz w:val="24"/>
          <w:szCs w:val="24"/>
          <w:lang w:val="en-GB"/>
        </w:rPr>
        <w:t>The Danish mortgage system is a pass through system, where payments on loans pass through to bondholders. Bondholders cannot withdraw their funds as depositors can. There is no maturity transformation, and the intermediary is not exposed to interest rate risk</w:t>
      </w:r>
      <w:r w:rsidRPr="00260B8B">
        <w:rPr>
          <w:rStyle w:val="FootnoteReference"/>
          <w:sz w:val="24"/>
          <w:szCs w:val="24"/>
          <w:lang w:val="en-GB"/>
        </w:rPr>
        <w:footnoteReference w:id="1"/>
      </w:r>
      <w:r w:rsidRPr="00260B8B">
        <w:rPr>
          <w:sz w:val="24"/>
          <w:szCs w:val="24"/>
          <w:lang w:val="en-GB"/>
        </w:rPr>
        <w:t>. Credit risk is contained through personal li</w:t>
      </w:r>
      <w:r w:rsidRPr="00260B8B">
        <w:rPr>
          <w:sz w:val="24"/>
          <w:szCs w:val="24"/>
          <w:lang w:val="en-GB"/>
        </w:rPr>
        <w:t>a</w:t>
      </w:r>
      <w:r w:rsidRPr="00260B8B">
        <w:rPr>
          <w:sz w:val="24"/>
          <w:szCs w:val="24"/>
          <w:lang w:val="en-GB"/>
        </w:rPr>
        <w:t xml:space="preserve">bility as opposed to the no recourse loans that caused so many problems in the US. The legal system ensures that foreclosure is unusually quick, around </w:t>
      </w:r>
      <w:r w:rsidR="00BC0C78">
        <w:rPr>
          <w:sz w:val="24"/>
          <w:szCs w:val="24"/>
          <w:lang w:val="en-GB"/>
        </w:rPr>
        <w:t>six</w:t>
      </w:r>
      <w:r w:rsidRPr="00260B8B">
        <w:rPr>
          <w:sz w:val="24"/>
          <w:szCs w:val="24"/>
          <w:lang w:val="en-GB"/>
        </w:rPr>
        <w:t xml:space="preserve"> months, and the social safety net means that in most parts of the country fa</w:t>
      </w:r>
      <w:r w:rsidRPr="00260B8B">
        <w:rPr>
          <w:sz w:val="24"/>
          <w:szCs w:val="24"/>
          <w:lang w:val="en-GB"/>
        </w:rPr>
        <w:t>m</w:t>
      </w:r>
      <w:r w:rsidRPr="00260B8B">
        <w:rPr>
          <w:sz w:val="24"/>
          <w:szCs w:val="24"/>
          <w:lang w:val="en-GB"/>
        </w:rPr>
        <w:t>ilies can service their debt with one family member unemployed. Originate to hold as opposed to originate to distribute results in sharp credit assessments.</w:t>
      </w:r>
    </w:p>
    <w:p w:rsidR="004F3A5F" w:rsidRPr="00170C30" w:rsidRDefault="004F3A5F" w:rsidP="004F3A5F">
      <w:pPr>
        <w:rPr>
          <w:sz w:val="24"/>
          <w:szCs w:val="24"/>
          <w:lang w:val="en-GB"/>
        </w:rPr>
      </w:pPr>
    </w:p>
    <w:p w:rsidR="004F3A5F" w:rsidRPr="00170C30" w:rsidRDefault="00260B8B" w:rsidP="004F3A5F">
      <w:pPr>
        <w:rPr>
          <w:sz w:val="24"/>
          <w:szCs w:val="24"/>
          <w:lang w:val="en-GB"/>
        </w:rPr>
      </w:pPr>
      <w:r w:rsidRPr="00260B8B">
        <w:rPr>
          <w:sz w:val="24"/>
          <w:szCs w:val="24"/>
          <w:lang w:val="en-GB"/>
        </w:rPr>
        <w:t>The result is that despite house price falls similar to those in the US, deli</w:t>
      </w:r>
      <w:r w:rsidRPr="00260B8B">
        <w:rPr>
          <w:sz w:val="24"/>
          <w:szCs w:val="24"/>
          <w:lang w:val="en-GB"/>
        </w:rPr>
        <w:t>n</w:t>
      </w:r>
      <w:r w:rsidRPr="00260B8B">
        <w:rPr>
          <w:sz w:val="24"/>
          <w:szCs w:val="24"/>
          <w:lang w:val="en-GB"/>
        </w:rPr>
        <w:t>quencies have been a small fraction of those in the US, cf Fig 6. Financial ma</w:t>
      </w:r>
      <w:r w:rsidRPr="00260B8B">
        <w:rPr>
          <w:sz w:val="24"/>
          <w:szCs w:val="24"/>
          <w:lang w:val="en-GB"/>
        </w:rPr>
        <w:t>r</w:t>
      </w:r>
      <w:r w:rsidRPr="00260B8B">
        <w:rPr>
          <w:sz w:val="24"/>
          <w:szCs w:val="24"/>
          <w:lang w:val="en-GB"/>
        </w:rPr>
        <w:t xml:space="preserve">kets are aware of this, and spreads and volatility have been on a par with those of many government bonds, if not better, as has liquidity, cf Buchholst et al. </w:t>
      </w:r>
    </w:p>
    <w:p w:rsidR="007F0EC1" w:rsidRPr="00170C30" w:rsidRDefault="007F0EC1" w:rsidP="004F3A5F">
      <w:pPr>
        <w:rPr>
          <w:sz w:val="24"/>
          <w:szCs w:val="24"/>
          <w:lang w:val="en-GB"/>
        </w:rPr>
      </w:pPr>
    </w:p>
    <w:p w:rsidR="007F0EC1" w:rsidRPr="00170C30" w:rsidRDefault="007F0EC1" w:rsidP="004F3A5F">
      <w:pPr>
        <w:rPr>
          <w:sz w:val="24"/>
          <w:szCs w:val="24"/>
          <w:lang w:val="en-GB"/>
        </w:rPr>
      </w:pPr>
    </w:p>
    <w:p w:rsidR="00610AB5" w:rsidRPr="00170C30" w:rsidRDefault="00260B8B" w:rsidP="004F3A5F">
      <w:pPr>
        <w:rPr>
          <w:i/>
          <w:sz w:val="24"/>
          <w:szCs w:val="24"/>
          <w:lang w:val="en-GB"/>
        </w:rPr>
      </w:pPr>
      <w:r w:rsidRPr="00260B8B">
        <w:rPr>
          <w:i/>
          <w:sz w:val="24"/>
          <w:szCs w:val="24"/>
          <w:lang w:val="en-GB"/>
        </w:rPr>
        <w:t>Figure 6: House price developments and delinquencies in Denmark and the USA</w:t>
      </w:r>
    </w:p>
    <w:p w:rsidR="000D0DA4" w:rsidRPr="00170C30" w:rsidRDefault="002E7ADD" w:rsidP="004F3A5F">
      <w:pPr>
        <w:rPr>
          <w:i/>
          <w:sz w:val="24"/>
          <w:szCs w:val="24"/>
          <w:lang w:val="en-GB"/>
        </w:rPr>
      </w:pPr>
      <w:r>
        <w:rPr>
          <w:noProof/>
          <w:szCs w:val="24"/>
          <w:lang w:val="en-GB" w:eastAsia="en-GB"/>
        </w:rPr>
        <w:drawing>
          <wp:inline distT="0" distB="0" distL="0" distR="0">
            <wp:extent cx="6120130" cy="3740079"/>
            <wp:effectExtent l="19050" t="0" r="0" b="0"/>
            <wp:docPr id="16" name="Bille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cstate="print"/>
                    <a:srcRect/>
                    <a:stretch>
                      <a:fillRect/>
                    </a:stretch>
                  </pic:blipFill>
                  <pic:spPr bwMode="auto">
                    <a:xfrm>
                      <a:off x="0" y="0"/>
                      <a:ext cx="6120130" cy="3740079"/>
                    </a:xfrm>
                    <a:prstGeom prst="rect">
                      <a:avLst/>
                    </a:prstGeom>
                    <a:noFill/>
                    <a:ln w="9525">
                      <a:noFill/>
                      <a:miter lim="800000"/>
                      <a:headEnd/>
                      <a:tailEnd/>
                    </a:ln>
                  </pic:spPr>
                </pic:pic>
              </a:graphicData>
            </a:graphic>
          </wp:inline>
        </w:drawing>
      </w:r>
    </w:p>
    <w:p w:rsidR="000D0DA4" w:rsidRPr="00170C30" w:rsidRDefault="000D0DA4" w:rsidP="004F3A5F">
      <w:pPr>
        <w:rPr>
          <w:i/>
          <w:sz w:val="24"/>
          <w:szCs w:val="24"/>
          <w:lang w:val="en-GB"/>
        </w:rPr>
      </w:pPr>
    </w:p>
    <w:p w:rsidR="007F0EC1" w:rsidRPr="00170C30" w:rsidRDefault="00260B8B" w:rsidP="004F3A5F">
      <w:pPr>
        <w:rPr>
          <w:sz w:val="24"/>
          <w:szCs w:val="24"/>
          <w:lang w:val="en-GB"/>
        </w:rPr>
      </w:pPr>
      <w:r w:rsidRPr="00260B8B">
        <w:rPr>
          <w:sz w:val="24"/>
          <w:szCs w:val="24"/>
          <w:lang w:val="en-GB"/>
        </w:rPr>
        <w:t>Source: Association of Danish Mortgage Banks, FHFA and Fannie Mae</w:t>
      </w:r>
    </w:p>
    <w:p w:rsidR="007F0EC1" w:rsidRPr="00170C30" w:rsidRDefault="007F0EC1" w:rsidP="004F3A5F">
      <w:pPr>
        <w:rPr>
          <w:i/>
          <w:sz w:val="24"/>
          <w:szCs w:val="24"/>
          <w:lang w:val="en-GB"/>
        </w:rPr>
      </w:pPr>
    </w:p>
    <w:p w:rsidR="007F0EC1" w:rsidRPr="00170C30" w:rsidRDefault="007F0EC1" w:rsidP="004F3A5F">
      <w:pPr>
        <w:rPr>
          <w:i/>
          <w:sz w:val="24"/>
          <w:szCs w:val="24"/>
          <w:lang w:val="en-GB"/>
        </w:rPr>
      </w:pPr>
    </w:p>
    <w:p w:rsidR="007F0EC1" w:rsidRPr="00170C30" w:rsidRDefault="007F0EC1" w:rsidP="004F3A5F">
      <w:pPr>
        <w:rPr>
          <w:i/>
          <w:sz w:val="24"/>
          <w:szCs w:val="24"/>
          <w:lang w:val="en-GB"/>
        </w:rPr>
      </w:pPr>
    </w:p>
    <w:p w:rsidR="007F0EC1" w:rsidRPr="00170C30" w:rsidRDefault="007F0EC1" w:rsidP="004F3A5F">
      <w:pPr>
        <w:rPr>
          <w:i/>
          <w:sz w:val="24"/>
          <w:szCs w:val="24"/>
          <w:lang w:val="en-GB"/>
        </w:rPr>
      </w:pPr>
    </w:p>
    <w:p w:rsidR="007F0EC1" w:rsidRPr="00170C30" w:rsidRDefault="007F0EC1" w:rsidP="004F3A5F">
      <w:pPr>
        <w:rPr>
          <w:i/>
          <w:sz w:val="24"/>
          <w:szCs w:val="24"/>
          <w:lang w:val="en-GB"/>
        </w:rPr>
      </w:pPr>
    </w:p>
    <w:p w:rsidR="00E425E3" w:rsidRPr="00170C30" w:rsidRDefault="00E425E3" w:rsidP="004F3A5F">
      <w:pPr>
        <w:rPr>
          <w:i/>
          <w:sz w:val="24"/>
          <w:szCs w:val="24"/>
          <w:lang w:val="en-GB"/>
        </w:rPr>
      </w:pPr>
    </w:p>
    <w:p w:rsidR="00E425E3" w:rsidRPr="00170C30" w:rsidRDefault="00E425E3" w:rsidP="004F3A5F">
      <w:pPr>
        <w:rPr>
          <w:i/>
          <w:sz w:val="24"/>
          <w:szCs w:val="24"/>
          <w:lang w:val="en-GB"/>
        </w:rPr>
      </w:pPr>
    </w:p>
    <w:p w:rsidR="00610AB5" w:rsidRPr="00170C30" w:rsidRDefault="00260B8B" w:rsidP="004F3A5F">
      <w:pPr>
        <w:rPr>
          <w:i/>
          <w:sz w:val="24"/>
          <w:szCs w:val="24"/>
          <w:lang w:val="en-GB"/>
        </w:rPr>
      </w:pPr>
      <w:r w:rsidRPr="00260B8B">
        <w:rPr>
          <w:i/>
          <w:sz w:val="24"/>
          <w:szCs w:val="24"/>
          <w:lang w:val="en-GB"/>
        </w:rPr>
        <w:t>Figure 7.a: Developments in bid-offer spreads of short-term covered bonds and government bonds in Denmark</w:t>
      </w:r>
    </w:p>
    <w:p w:rsidR="00610AB5" w:rsidRPr="00170C30" w:rsidRDefault="002E7ADD" w:rsidP="004F3A5F">
      <w:pPr>
        <w:rPr>
          <w:sz w:val="24"/>
          <w:szCs w:val="24"/>
          <w:lang w:val="en-GB"/>
        </w:rPr>
      </w:pPr>
      <w:r>
        <w:rPr>
          <w:noProof/>
          <w:szCs w:val="24"/>
          <w:lang w:val="en-GB" w:eastAsia="en-GB"/>
        </w:rPr>
        <w:drawing>
          <wp:inline distT="0" distB="0" distL="0" distR="0">
            <wp:extent cx="5838825" cy="3705225"/>
            <wp:effectExtent l="19050" t="0" r="9525" b="0"/>
            <wp:docPr id="19" name="Bille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cstate="print"/>
                    <a:srcRect/>
                    <a:stretch>
                      <a:fillRect/>
                    </a:stretch>
                  </pic:blipFill>
                  <pic:spPr bwMode="auto">
                    <a:xfrm>
                      <a:off x="0" y="0"/>
                      <a:ext cx="5838825" cy="3705225"/>
                    </a:xfrm>
                    <a:prstGeom prst="rect">
                      <a:avLst/>
                    </a:prstGeom>
                    <a:noFill/>
                    <a:ln w="9525">
                      <a:noFill/>
                      <a:miter lim="800000"/>
                      <a:headEnd/>
                      <a:tailEnd/>
                    </a:ln>
                  </pic:spPr>
                </pic:pic>
              </a:graphicData>
            </a:graphic>
          </wp:inline>
        </w:drawing>
      </w:r>
    </w:p>
    <w:p w:rsidR="00AF5D4D" w:rsidRPr="00170C30" w:rsidRDefault="00260B8B" w:rsidP="00AF5D4D">
      <w:pPr>
        <w:rPr>
          <w:i/>
          <w:sz w:val="24"/>
          <w:szCs w:val="24"/>
          <w:lang w:val="en-GB"/>
        </w:rPr>
      </w:pPr>
      <w:r w:rsidRPr="00260B8B">
        <w:rPr>
          <w:i/>
          <w:sz w:val="24"/>
          <w:szCs w:val="24"/>
          <w:lang w:val="en-GB"/>
        </w:rPr>
        <w:t>Figure 7.b: Developments in bid-offer spreads of long-term covered bonds and government bonds in Denmark</w:t>
      </w:r>
    </w:p>
    <w:p w:rsidR="000D0DA4" w:rsidRPr="00170C30" w:rsidRDefault="002E7ADD" w:rsidP="004F3A5F">
      <w:pPr>
        <w:rPr>
          <w:sz w:val="24"/>
          <w:szCs w:val="24"/>
          <w:lang w:val="en-GB"/>
        </w:rPr>
      </w:pPr>
      <w:r>
        <w:rPr>
          <w:noProof/>
          <w:szCs w:val="24"/>
          <w:lang w:val="en-GB" w:eastAsia="en-GB"/>
        </w:rPr>
        <w:drawing>
          <wp:inline distT="0" distB="0" distL="0" distR="0">
            <wp:extent cx="5505450" cy="3781425"/>
            <wp:effectExtent l="19050" t="0" r="0" b="0"/>
            <wp:docPr id="22" name="Billed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cstate="print"/>
                    <a:srcRect/>
                    <a:stretch>
                      <a:fillRect/>
                    </a:stretch>
                  </pic:blipFill>
                  <pic:spPr bwMode="auto">
                    <a:xfrm>
                      <a:off x="0" y="0"/>
                      <a:ext cx="5505450" cy="3781425"/>
                    </a:xfrm>
                    <a:prstGeom prst="rect">
                      <a:avLst/>
                    </a:prstGeom>
                    <a:noFill/>
                    <a:ln w="9525">
                      <a:noFill/>
                      <a:miter lim="800000"/>
                      <a:headEnd/>
                      <a:tailEnd/>
                    </a:ln>
                  </pic:spPr>
                </pic:pic>
              </a:graphicData>
            </a:graphic>
          </wp:inline>
        </w:drawing>
      </w:r>
    </w:p>
    <w:p w:rsidR="00AB087B" w:rsidRPr="00170C30" w:rsidRDefault="00260B8B" w:rsidP="004F3A5F">
      <w:pPr>
        <w:rPr>
          <w:sz w:val="24"/>
          <w:szCs w:val="24"/>
          <w:lang w:val="en-GB"/>
        </w:rPr>
      </w:pPr>
      <w:r w:rsidRPr="00260B8B">
        <w:rPr>
          <w:sz w:val="24"/>
          <w:szCs w:val="24"/>
          <w:lang w:val="en-GB"/>
        </w:rPr>
        <w:t>Nevertheless, the Basel standards as originally formulated could have made the Danish mortgage system a casualty of not the war but the peace. This a</w:t>
      </w:r>
      <w:r w:rsidRPr="00260B8B">
        <w:rPr>
          <w:sz w:val="24"/>
          <w:szCs w:val="24"/>
          <w:lang w:val="en-GB"/>
        </w:rPr>
        <w:t>p</w:t>
      </w:r>
      <w:r w:rsidRPr="00260B8B">
        <w:rPr>
          <w:sz w:val="24"/>
          <w:szCs w:val="24"/>
          <w:lang w:val="en-GB"/>
        </w:rPr>
        <w:t>plied in particular to the new liquidity standards, eg the idea that government bonds are all Tier 1 liquidity, while covered bonds are all Tier 2 liquidity. The new measures were obviously not formulated with the Danish system in mind. Fortunately, the EU version of the new regulations allows for a better fitting and less of a cookie cutter approach.</w:t>
      </w:r>
    </w:p>
    <w:p w:rsidR="00AB087B" w:rsidRPr="00170C30" w:rsidRDefault="00AB087B" w:rsidP="004F3A5F">
      <w:pPr>
        <w:rPr>
          <w:sz w:val="24"/>
          <w:szCs w:val="24"/>
          <w:lang w:val="en-GB"/>
        </w:rPr>
      </w:pPr>
    </w:p>
    <w:p w:rsidR="004F3A5F" w:rsidRPr="00170C30" w:rsidRDefault="00260B8B" w:rsidP="004F3A5F">
      <w:pPr>
        <w:rPr>
          <w:sz w:val="24"/>
          <w:szCs w:val="24"/>
          <w:lang w:val="en-GB"/>
        </w:rPr>
      </w:pPr>
      <w:r w:rsidRPr="00260B8B">
        <w:rPr>
          <w:sz w:val="24"/>
          <w:szCs w:val="24"/>
          <w:lang w:val="en-GB"/>
        </w:rPr>
        <w:t>In fact, the EU should make use of the opportunity to build on the unique E</w:t>
      </w:r>
      <w:r w:rsidRPr="00260B8B">
        <w:rPr>
          <w:sz w:val="24"/>
          <w:szCs w:val="24"/>
          <w:lang w:val="en-GB"/>
        </w:rPr>
        <w:t>u</w:t>
      </w:r>
      <w:r w:rsidRPr="00260B8B">
        <w:rPr>
          <w:sz w:val="24"/>
          <w:szCs w:val="24"/>
          <w:lang w:val="en-GB"/>
        </w:rPr>
        <w:t>ropean instrument that covered bonds are to create a housing finance system in Europe that would share the best features of the best systems. A system that next time around will give all the citizens of Europe continued access to housing finance, even when a financial hurricane is raging. In Denmark, growth in covered bond finance even limited the effect on the economy of the fall in bank credit to industry and trade, cf Fig 8.</w:t>
      </w:r>
    </w:p>
    <w:p w:rsidR="00A423C9" w:rsidRPr="00170C30" w:rsidRDefault="00A423C9" w:rsidP="004F3A5F">
      <w:pPr>
        <w:rPr>
          <w:sz w:val="24"/>
          <w:szCs w:val="24"/>
          <w:lang w:val="en-GB"/>
        </w:rPr>
      </w:pPr>
    </w:p>
    <w:p w:rsidR="00610AB5" w:rsidRPr="00170C30" w:rsidRDefault="00260B8B" w:rsidP="004F3A5F">
      <w:pPr>
        <w:rPr>
          <w:i/>
          <w:sz w:val="24"/>
          <w:szCs w:val="24"/>
          <w:lang w:val="en-GB"/>
        </w:rPr>
      </w:pPr>
      <w:r w:rsidRPr="00260B8B">
        <w:rPr>
          <w:i/>
          <w:sz w:val="24"/>
          <w:szCs w:val="24"/>
          <w:lang w:val="en-GB"/>
        </w:rPr>
        <w:t>Figure 8: Growth in mortgage lending and bank lending to non-financial corp</w:t>
      </w:r>
      <w:r w:rsidRPr="00260B8B">
        <w:rPr>
          <w:i/>
          <w:sz w:val="24"/>
          <w:szCs w:val="24"/>
          <w:lang w:val="en-GB"/>
        </w:rPr>
        <w:t>o</w:t>
      </w:r>
      <w:r w:rsidRPr="00260B8B">
        <w:rPr>
          <w:i/>
          <w:sz w:val="24"/>
          <w:szCs w:val="24"/>
          <w:lang w:val="en-GB"/>
        </w:rPr>
        <w:t>rations</w:t>
      </w:r>
    </w:p>
    <w:p w:rsidR="00AB087B" w:rsidRPr="00170C30" w:rsidRDefault="00AB087B" w:rsidP="004F3A5F">
      <w:pPr>
        <w:rPr>
          <w:sz w:val="24"/>
          <w:szCs w:val="24"/>
          <w:lang w:val="en-GB"/>
        </w:rPr>
      </w:pPr>
    </w:p>
    <w:p w:rsidR="00A423C9" w:rsidRPr="00170C30" w:rsidRDefault="002E7ADD" w:rsidP="004F3A5F">
      <w:pPr>
        <w:rPr>
          <w:sz w:val="24"/>
          <w:szCs w:val="24"/>
          <w:lang w:val="en-GB"/>
        </w:rPr>
      </w:pPr>
      <w:r>
        <w:rPr>
          <w:noProof/>
          <w:szCs w:val="24"/>
          <w:lang w:val="en-GB" w:eastAsia="en-GB"/>
        </w:rPr>
        <w:drawing>
          <wp:inline distT="0" distB="0" distL="0" distR="0">
            <wp:extent cx="6120130" cy="3858952"/>
            <wp:effectExtent l="19050" t="0" r="0" b="0"/>
            <wp:docPr id="25" name="Billed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7" cstate="print"/>
                    <a:srcRect/>
                    <a:stretch>
                      <a:fillRect/>
                    </a:stretch>
                  </pic:blipFill>
                  <pic:spPr bwMode="auto">
                    <a:xfrm>
                      <a:off x="0" y="0"/>
                      <a:ext cx="6120130" cy="3858952"/>
                    </a:xfrm>
                    <a:prstGeom prst="rect">
                      <a:avLst/>
                    </a:prstGeom>
                    <a:noFill/>
                    <a:ln w="9525">
                      <a:noFill/>
                      <a:miter lim="800000"/>
                      <a:headEnd/>
                      <a:tailEnd/>
                    </a:ln>
                  </pic:spPr>
                </pic:pic>
              </a:graphicData>
            </a:graphic>
          </wp:inline>
        </w:drawing>
      </w:r>
    </w:p>
    <w:p w:rsidR="0039356B" w:rsidRPr="00170C30" w:rsidRDefault="00260B8B" w:rsidP="004F3A5F">
      <w:pPr>
        <w:rPr>
          <w:sz w:val="24"/>
          <w:szCs w:val="24"/>
          <w:lang w:val="en-GB"/>
        </w:rPr>
      </w:pPr>
      <w:r w:rsidRPr="00260B8B">
        <w:rPr>
          <w:sz w:val="24"/>
          <w:szCs w:val="24"/>
          <w:lang w:val="en-GB"/>
        </w:rPr>
        <w:t>Source: Danmarks Nationalbank</w:t>
      </w:r>
    </w:p>
    <w:p w:rsidR="00E425E3" w:rsidRPr="00170C30" w:rsidRDefault="00E425E3" w:rsidP="004F3A5F">
      <w:pPr>
        <w:rPr>
          <w:sz w:val="24"/>
          <w:szCs w:val="24"/>
          <w:lang w:val="en-GB"/>
        </w:rPr>
      </w:pPr>
    </w:p>
    <w:p w:rsidR="00AB087B" w:rsidRPr="00170C30" w:rsidRDefault="00260B8B" w:rsidP="004F3A5F">
      <w:pPr>
        <w:rPr>
          <w:b/>
          <w:i/>
          <w:sz w:val="24"/>
          <w:szCs w:val="24"/>
          <w:lang w:val="en-GB"/>
        </w:rPr>
      </w:pPr>
      <w:r w:rsidRPr="00260B8B">
        <w:rPr>
          <w:b/>
          <w:i/>
          <w:sz w:val="24"/>
          <w:szCs w:val="24"/>
          <w:lang w:val="en-GB"/>
        </w:rPr>
        <w:t>Covered bonds and structural subordination</w:t>
      </w:r>
    </w:p>
    <w:p w:rsidR="00AF5D4D" w:rsidRPr="00170C30" w:rsidRDefault="00AF5D4D" w:rsidP="004F3A5F">
      <w:pPr>
        <w:rPr>
          <w:sz w:val="24"/>
          <w:szCs w:val="24"/>
          <w:lang w:val="en-GB"/>
        </w:rPr>
      </w:pPr>
    </w:p>
    <w:p w:rsidR="00AB087B" w:rsidRPr="00170C30" w:rsidRDefault="00260B8B" w:rsidP="004F3A5F">
      <w:pPr>
        <w:rPr>
          <w:sz w:val="24"/>
          <w:szCs w:val="24"/>
          <w:lang w:val="en-GB"/>
        </w:rPr>
      </w:pPr>
      <w:r w:rsidRPr="00260B8B">
        <w:rPr>
          <w:sz w:val="24"/>
          <w:szCs w:val="24"/>
          <w:lang w:val="en-GB"/>
        </w:rPr>
        <w:t>Covered bonds have been criticised for creating structural subordination of d</w:t>
      </w:r>
      <w:r w:rsidRPr="00260B8B">
        <w:rPr>
          <w:sz w:val="24"/>
          <w:szCs w:val="24"/>
          <w:lang w:val="en-GB"/>
        </w:rPr>
        <w:t>e</w:t>
      </w:r>
      <w:r w:rsidRPr="00260B8B">
        <w:rPr>
          <w:sz w:val="24"/>
          <w:szCs w:val="24"/>
          <w:lang w:val="en-GB"/>
        </w:rPr>
        <w:t>positors as assets are set aside for covered bond holders. It is important to note that such structural subordination by definition does not apply to specia</w:t>
      </w:r>
      <w:r w:rsidRPr="00260B8B">
        <w:rPr>
          <w:sz w:val="24"/>
          <w:szCs w:val="24"/>
          <w:lang w:val="en-GB"/>
        </w:rPr>
        <w:t>l</w:t>
      </w:r>
      <w:r w:rsidRPr="00260B8B">
        <w:rPr>
          <w:sz w:val="24"/>
          <w:szCs w:val="24"/>
          <w:lang w:val="en-GB"/>
        </w:rPr>
        <w:t>ised institutions that do not take deposits. Here, any other creditors are co</w:t>
      </w:r>
      <w:r w:rsidRPr="00260B8B">
        <w:rPr>
          <w:sz w:val="24"/>
          <w:szCs w:val="24"/>
          <w:lang w:val="en-GB"/>
        </w:rPr>
        <w:t>n</w:t>
      </w:r>
      <w:r w:rsidRPr="00260B8B">
        <w:rPr>
          <w:sz w:val="24"/>
          <w:szCs w:val="24"/>
          <w:lang w:val="en-GB"/>
        </w:rPr>
        <w:t>senting adults who do not rely on deposit insurance.</w:t>
      </w:r>
    </w:p>
    <w:p w:rsidR="00AB087B" w:rsidRPr="00170C30" w:rsidRDefault="00AB087B" w:rsidP="004F3A5F">
      <w:pPr>
        <w:rPr>
          <w:sz w:val="24"/>
          <w:szCs w:val="24"/>
          <w:lang w:val="en-GB"/>
        </w:rPr>
      </w:pPr>
    </w:p>
    <w:p w:rsidR="00AB087B" w:rsidRPr="00170C30" w:rsidRDefault="00260B8B" w:rsidP="004F3A5F">
      <w:pPr>
        <w:rPr>
          <w:sz w:val="24"/>
          <w:szCs w:val="24"/>
          <w:lang w:val="en-GB"/>
        </w:rPr>
      </w:pPr>
      <w:r w:rsidRPr="00260B8B">
        <w:rPr>
          <w:sz w:val="24"/>
          <w:szCs w:val="24"/>
          <w:lang w:val="en-GB"/>
        </w:rPr>
        <w:t>In institutions that do take deposits, the structural subordination created by covered bond issuance depends on the overcollateralisation of the covered bonds, cf Fig 9. The more assets reserved for covered bonds, the less available for depositors, and the larger the potential bill for the deposit insurance scheme, and in the worst case the tax payers, if a bank is bailed out by the government.</w:t>
      </w:r>
    </w:p>
    <w:p w:rsidR="00AB087B" w:rsidRPr="00170C30" w:rsidRDefault="00AB087B" w:rsidP="004F3A5F">
      <w:pPr>
        <w:rPr>
          <w:sz w:val="24"/>
          <w:szCs w:val="24"/>
          <w:lang w:val="en-GB"/>
        </w:rPr>
      </w:pPr>
    </w:p>
    <w:p w:rsidR="00AB087B" w:rsidRPr="00170C30" w:rsidRDefault="00260B8B" w:rsidP="004F3A5F">
      <w:pPr>
        <w:rPr>
          <w:i/>
          <w:sz w:val="24"/>
          <w:szCs w:val="24"/>
          <w:lang w:val="en-GB"/>
        </w:rPr>
      </w:pPr>
      <w:r w:rsidRPr="00260B8B">
        <w:rPr>
          <w:i/>
          <w:sz w:val="24"/>
          <w:szCs w:val="24"/>
          <w:lang w:val="en-GB"/>
        </w:rPr>
        <w:t>Figure 9: Structural subordination of depositors</w:t>
      </w:r>
    </w:p>
    <w:p w:rsidR="00AB087B" w:rsidRPr="00170C30" w:rsidRDefault="00AB087B" w:rsidP="004F3A5F">
      <w:pPr>
        <w:rPr>
          <w:i/>
          <w:sz w:val="24"/>
          <w:szCs w:val="24"/>
          <w:lang w:val="en-GB"/>
        </w:rPr>
      </w:pPr>
    </w:p>
    <w:p w:rsidR="00AB087B" w:rsidRPr="00170C30" w:rsidRDefault="002E7ADD" w:rsidP="004F3A5F">
      <w:pPr>
        <w:rPr>
          <w:i/>
          <w:sz w:val="24"/>
          <w:szCs w:val="24"/>
          <w:lang w:val="en-GB"/>
        </w:rPr>
      </w:pPr>
      <w:r>
        <w:rPr>
          <w:noProof/>
          <w:szCs w:val="24"/>
          <w:lang w:val="en-GB" w:eastAsia="en-GB"/>
        </w:rPr>
        <w:drawing>
          <wp:inline distT="0" distB="0" distL="0" distR="0">
            <wp:extent cx="6120130" cy="3638234"/>
            <wp:effectExtent l="19050" t="0" r="0" b="0"/>
            <wp:docPr id="28" name="Billed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8" cstate="print"/>
                    <a:srcRect/>
                    <a:stretch>
                      <a:fillRect/>
                    </a:stretch>
                  </pic:blipFill>
                  <pic:spPr bwMode="auto">
                    <a:xfrm>
                      <a:off x="0" y="0"/>
                      <a:ext cx="6120130" cy="3638234"/>
                    </a:xfrm>
                    <a:prstGeom prst="rect">
                      <a:avLst/>
                    </a:prstGeom>
                    <a:noFill/>
                    <a:ln w="9525">
                      <a:noFill/>
                      <a:miter lim="800000"/>
                      <a:headEnd/>
                      <a:tailEnd/>
                    </a:ln>
                  </pic:spPr>
                </pic:pic>
              </a:graphicData>
            </a:graphic>
          </wp:inline>
        </w:drawing>
      </w:r>
    </w:p>
    <w:p w:rsidR="00DC3A0F" w:rsidRPr="00170C30" w:rsidRDefault="00DC3A0F" w:rsidP="004F3A5F">
      <w:pPr>
        <w:rPr>
          <w:i/>
          <w:sz w:val="24"/>
          <w:szCs w:val="24"/>
          <w:lang w:val="en-GB"/>
        </w:rPr>
      </w:pPr>
    </w:p>
    <w:p w:rsidR="00AB087B" w:rsidRPr="00170C30" w:rsidRDefault="00260B8B" w:rsidP="004F3A5F">
      <w:pPr>
        <w:rPr>
          <w:sz w:val="24"/>
          <w:szCs w:val="24"/>
          <w:lang w:val="en-GB"/>
        </w:rPr>
      </w:pPr>
      <w:r w:rsidRPr="00260B8B">
        <w:rPr>
          <w:sz w:val="24"/>
          <w:szCs w:val="24"/>
          <w:lang w:val="en-GB"/>
        </w:rPr>
        <w:t>Thus, there is a case for limiting overcollateralisation. Canada in fact recently introduced legislation to limit overcollateralisation. The argument was partly structural subordination, and partly that the combination of limits on overco</w:t>
      </w:r>
      <w:r w:rsidRPr="00260B8B">
        <w:rPr>
          <w:sz w:val="24"/>
          <w:szCs w:val="24"/>
          <w:lang w:val="en-GB"/>
        </w:rPr>
        <w:t>l</w:t>
      </w:r>
      <w:r w:rsidRPr="00260B8B">
        <w:rPr>
          <w:sz w:val="24"/>
          <w:szCs w:val="24"/>
          <w:lang w:val="en-GB"/>
        </w:rPr>
        <w:t>lateralisation and the need to uphold a decent rating required lenders to mai</w:t>
      </w:r>
      <w:r w:rsidRPr="00260B8B">
        <w:rPr>
          <w:sz w:val="24"/>
          <w:szCs w:val="24"/>
          <w:lang w:val="en-GB"/>
        </w:rPr>
        <w:t>n</w:t>
      </w:r>
      <w:r w:rsidRPr="00260B8B">
        <w:rPr>
          <w:sz w:val="24"/>
          <w:szCs w:val="24"/>
          <w:lang w:val="en-GB"/>
        </w:rPr>
        <w:t>tain much higher credit standards.</w:t>
      </w:r>
    </w:p>
    <w:p w:rsidR="00AB087B" w:rsidRPr="00170C30" w:rsidRDefault="00AB087B" w:rsidP="004F3A5F">
      <w:pPr>
        <w:rPr>
          <w:sz w:val="24"/>
          <w:szCs w:val="24"/>
          <w:lang w:val="en-GB"/>
        </w:rPr>
      </w:pPr>
    </w:p>
    <w:p w:rsidR="00AB087B" w:rsidRPr="00170C30" w:rsidRDefault="00260B8B" w:rsidP="004F3A5F">
      <w:pPr>
        <w:rPr>
          <w:sz w:val="24"/>
          <w:szCs w:val="24"/>
          <w:lang w:val="en-GB"/>
        </w:rPr>
      </w:pPr>
      <w:r w:rsidRPr="00260B8B">
        <w:rPr>
          <w:sz w:val="24"/>
          <w:szCs w:val="24"/>
          <w:lang w:val="en-GB"/>
        </w:rPr>
        <w:t>Limits to overcollateralisation would also make stand alone systems more st</w:t>
      </w:r>
      <w:r w:rsidRPr="00260B8B">
        <w:rPr>
          <w:sz w:val="24"/>
          <w:szCs w:val="24"/>
          <w:lang w:val="en-GB"/>
        </w:rPr>
        <w:t>a</w:t>
      </w:r>
      <w:r w:rsidRPr="00260B8B">
        <w:rPr>
          <w:sz w:val="24"/>
          <w:szCs w:val="24"/>
          <w:lang w:val="en-GB"/>
        </w:rPr>
        <w:t>ble, as overcollateralisation introduces a liquidity risk in such systems, cf Fig 10.</w:t>
      </w:r>
    </w:p>
    <w:p w:rsidR="00AB087B" w:rsidRPr="00170C30" w:rsidRDefault="00AB087B" w:rsidP="004F3A5F">
      <w:pPr>
        <w:rPr>
          <w:sz w:val="24"/>
          <w:szCs w:val="24"/>
          <w:lang w:val="en-GB"/>
        </w:rPr>
      </w:pPr>
    </w:p>
    <w:p w:rsidR="00AB087B" w:rsidRPr="00170C30" w:rsidRDefault="00260B8B" w:rsidP="004F3A5F">
      <w:pPr>
        <w:rPr>
          <w:i/>
          <w:sz w:val="24"/>
          <w:szCs w:val="24"/>
          <w:lang w:val="en-GB"/>
        </w:rPr>
      </w:pPr>
      <w:r w:rsidRPr="00260B8B">
        <w:rPr>
          <w:i/>
          <w:sz w:val="24"/>
          <w:szCs w:val="24"/>
          <w:lang w:val="en-GB"/>
        </w:rPr>
        <w:t xml:space="preserve">Figure 10: Overcollateralisation and liquidity risk </w:t>
      </w:r>
    </w:p>
    <w:p w:rsidR="00AB087B" w:rsidRPr="00170C30" w:rsidRDefault="00AB087B" w:rsidP="004F3A5F">
      <w:pPr>
        <w:rPr>
          <w:i/>
          <w:sz w:val="24"/>
          <w:szCs w:val="24"/>
          <w:lang w:val="en-GB"/>
        </w:rPr>
      </w:pPr>
    </w:p>
    <w:p w:rsidR="00AB087B" w:rsidRPr="00170C30" w:rsidRDefault="00695FD3" w:rsidP="004F3A5F">
      <w:pPr>
        <w:rPr>
          <w:i/>
          <w:sz w:val="24"/>
          <w:szCs w:val="24"/>
          <w:lang w:val="en-GB"/>
        </w:rPr>
      </w:pPr>
      <w:r w:rsidRPr="00695FD3">
        <w:rPr>
          <w:i/>
          <w:noProof/>
          <w:sz w:val="24"/>
          <w:szCs w:val="24"/>
          <w:lang w:val="en-GB" w:eastAsia="en-GB"/>
        </w:rPr>
        <w:drawing>
          <wp:inline distT="0" distB="0" distL="0" distR="0">
            <wp:extent cx="4019507" cy="2689656"/>
            <wp:effectExtent l="19050" t="0" r="43" b="0"/>
            <wp:docPr id="6"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4023612" cy="2692403"/>
                    </a:xfrm>
                    <a:prstGeom prst="rect">
                      <a:avLst/>
                    </a:prstGeom>
                    <a:noFill/>
                    <a:ln w="9525">
                      <a:noFill/>
                      <a:miter lim="800000"/>
                      <a:headEnd/>
                      <a:tailEnd/>
                    </a:ln>
                  </pic:spPr>
                </pic:pic>
              </a:graphicData>
            </a:graphic>
          </wp:inline>
        </w:drawing>
      </w:r>
    </w:p>
    <w:p w:rsidR="00F5222C" w:rsidRPr="00170C30" w:rsidRDefault="00F5222C" w:rsidP="004F3A5F">
      <w:pPr>
        <w:rPr>
          <w:i/>
          <w:sz w:val="24"/>
          <w:szCs w:val="24"/>
          <w:lang w:val="en-GB"/>
        </w:rPr>
      </w:pPr>
    </w:p>
    <w:p w:rsidR="00AB087B" w:rsidRPr="00170C30" w:rsidRDefault="00260B8B" w:rsidP="004F3A5F">
      <w:pPr>
        <w:rPr>
          <w:sz w:val="24"/>
          <w:szCs w:val="24"/>
          <w:lang w:val="en-GB"/>
        </w:rPr>
      </w:pPr>
      <w:r w:rsidRPr="00260B8B">
        <w:rPr>
          <w:sz w:val="24"/>
          <w:szCs w:val="24"/>
          <w:lang w:val="en-GB"/>
        </w:rPr>
        <w:t>In this context, it is important to note that overcollateralisation is a result not only of the requirements of rating agencies, but also of the requirement in CRD/CRR that covered bonds maintain an LTV below certain limits on a conti</w:t>
      </w:r>
      <w:r w:rsidRPr="00260B8B">
        <w:rPr>
          <w:sz w:val="24"/>
          <w:szCs w:val="24"/>
          <w:lang w:val="en-GB"/>
        </w:rPr>
        <w:t>n</w:t>
      </w:r>
      <w:r w:rsidRPr="00260B8B">
        <w:rPr>
          <w:sz w:val="24"/>
          <w:szCs w:val="24"/>
          <w:lang w:val="en-GB"/>
        </w:rPr>
        <w:t>uous basis on each mortgage. The Danish mortgage system functioned for a</w:t>
      </w:r>
      <w:r w:rsidRPr="00260B8B">
        <w:rPr>
          <w:sz w:val="24"/>
          <w:szCs w:val="24"/>
          <w:lang w:val="en-GB"/>
        </w:rPr>
        <w:t>l</w:t>
      </w:r>
      <w:r w:rsidRPr="00260B8B">
        <w:rPr>
          <w:sz w:val="24"/>
          <w:szCs w:val="24"/>
          <w:lang w:val="en-GB"/>
        </w:rPr>
        <w:t xml:space="preserve">most 200 years without </w:t>
      </w:r>
      <w:r w:rsidR="00695FD3">
        <w:rPr>
          <w:sz w:val="24"/>
          <w:szCs w:val="24"/>
          <w:lang w:val="en-GB"/>
        </w:rPr>
        <w:t>a single default</w:t>
      </w:r>
      <w:r w:rsidRPr="00260B8B">
        <w:rPr>
          <w:sz w:val="24"/>
          <w:szCs w:val="24"/>
          <w:lang w:val="en-GB"/>
        </w:rPr>
        <w:t xml:space="preserve"> with LTV limits that only applied to loans at origination. There are many different ways of making a covered bond system even more robust and among these, revising the rule on continuous LTV compliance for each property should definitely be considered.  </w:t>
      </w:r>
    </w:p>
    <w:p w:rsidR="00172633" w:rsidRPr="00170C30" w:rsidRDefault="00172633" w:rsidP="004F3A5F">
      <w:pPr>
        <w:rPr>
          <w:sz w:val="24"/>
          <w:szCs w:val="24"/>
          <w:lang w:val="en-GB"/>
        </w:rPr>
      </w:pPr>
    </w:p>
    <w:p w:rsidR="00172633" w:rsidRPr="00170C30" w:rsidRDefault="00260B8B" w:rsidP="004F3A5F">
      <w:pPr>
        <w:rPr>
          <w:sz w:val="24"/>
          <w:szCs w:val="24"/>
          <w:lang w:val="en-GB"/>
        </w:rPr>
      </w:pPr>
      <w:r w:rsidRPr="00260B8B">
        <w:rPr>
          <w:sz w:val="24"/>
          <w:szCs w:val="24"/>
          <w:lang w:val="en-GB"/>
        </w:rPr>
        <w:t>The continuous LTV requirement is a good example of a requirement that on the surface makes sense in relation to the objective of setting aside adequate capital for the risk of holding the bonds. Covered bonds of lesser regulatory quality, so called UCITS compliant bonds where the LTV is only observed at issuance, carry double the risk weight of CRD compliant covered bonds. Ho</w:t>
      </w:r>
      <w:r w:rsidRPr="00260B8B">
        <w:rPr>
          <w:sz w:val="24"/>
          <w:szCs w:val="24"/>
          <w:lang w:val="en-GB"/>
        </w:rPr>
        <w:t>w</w:t>
      </w:r>
      <w:r w:rsidRPr="00260B8B">
        <w:rPr>
          <w:sz w:val="24"/>
          <w:szCs w:val="24"/>
          <w:lang w:val="en-GB"/>
        </w:rPr>
        <w:t>ever, from the perspective of the risk of the issuer, this creates an incentive to issue CRD compliant bonds, which increases the risk of structural subordination of deposit taking issuers and the liquidity risks of both deposit taking and non-deposit taking issuers. Thus, when you look at the financial system as a whole, it is not clear whether the regulatory framework in this area contributes to f</w:t>
      </w:r>
      <w:r w:rsidRPr="00260B8B">
        <w:rPr>
          <w:sz w:val="24"/>
          <w:szCs w:val="24"/>
          <w:lang w:val="en-GB"/>
        </w:rPr>
        <w:t>i</w:t>
      </w:r>
      <w:r w:rsidRPr="00260B8B">
        <w:rPr>
          <w:sz w:val="24"/>
          <w:szCs w:val="24"/>
          <w:lang w:val="en-GB"/>
        </w:rPr>
        <w:t>nancial stability.</w:t>
      </w:r>
    </w:p>
    <w:p w:rsidR="00AB087B" w:rsidRPr="00170C30" w:rsidRDefault="00260B8B" w:rsidP="004F3A5F">
      <w:pPr>
        <w:rPr>
          <w:sz w:val="24"/>
          <w:szCs w:val="24"/>
          <w:lang w:val="en-GB"/>
        </w:rPr>
      </w:pPr>
      <w:r w:rsidRPr="00260B8B">
        <w:rPr>
          <w:sz w:val="24"/>
          <w:szCs w:val="24"/>
          <w:lang w:val="en-GB"/>
        </w:rPr>
        <w:t xml:space="preserve"> </w:t>
      </w:r>
    </w:p>
    <w:p w:rsidR="007F0EC1" w:rsidRPr="00170C30" w:rsidRDefault="007F0EC1" w:rsidP="004F3A5F">
      <w:pPr>
        <w:rPr>
          <w:sz w:val="24"/>
          <w:szCs w:val="24"/>
          <w:lang w:val="en-GB"/>
        </w:rPr>
      </w:pPr>
    </w:p>
    <w:p w:rsidR="00DD7BCD" w:rsidRPr="00170C30" w:rsidRDefault="00260B8B" w:rsidP="00DD7BCD">
      <w:pPr>
        <w:rPr>
          <w:b/>
          <w:i/>
          <w:sz w:val="24"/>
          <w:szCs w:val="24"/>
          <w:lang w:val="en-GB"/>
        </w:rPr>
      </w:pPr>
      <w:r w:rsidRPr="00260B8B">
        <w:rPr>
          <w:b/>
          <w:i/>
          <w:sz w:val="24"/>
          <w:szCs w:val="24"/>
          <w:lang w:val="en-GB"/>
        </w:rPr>
        <w:t xml:space="preserve">Where </w:t>
      </w:r>
      <w:r w:rsidR="004F7FCC">
        <w:rPr>
          <w:b/>
          <w:i/>
          <w:sz w:val="24"/>
          <w:szCs w:val="24"/>
          <w:lang w:val="en-GB"/>
        </w:rPr>
        <w:t>should</w:t>
      </w:r>
      <w:r w:rsidRPr="00260B8B">
        <w:rPr>
          <w:b/>
          <w:i/>
          <w:sz w:val="24"/>
          <w:szCs w:val="24"/>
          <w:lang w:val="en-GB"/>
        </w:rPr>
        <w:t xml:space="preserve"> all the risk go</w:t>
      </w:r>
    </w:p>
    <w:p w:rsidR="00D94609" w:rsidRPr="00170C30" w:rsidRDefault="00D94609" w:rsidP="00DD7BCD">
      <w:pPr>
        <w:rPr>
          <w:b/>
          <w:i/>
          <w:sz w:val="24"/>
          <w:szCs w:val="24"/>
          <w:lang w:val="en-GB"/>
        </w:rPr>
      </w:pPr>
    </w:p>
    <w:p w:rsidR="006223D1" w:rsidRPr="00170C30" w:rsidRDefault="00260B8B" w:rsidP="00DD7BCD">
      <w:pPr>
        <w:rPr>
          <w:sz w:val="24"/>
          <w:szCs w:val="24"/>
          <w:lang w:val="en-GB"/>
        </w:rPr>
      </w:pPr>
      <w:r w:rsidRPr="00260B8B">
        <w:rPr>
          <w:sz w:val="24"/>
          <w:szCs w:val="24"/>
          <w:lang w:val="en-GB"/>
        </w:rPr>
        <w:t>The regulatory reforms are an understandable reaction to the financial crisis. Each of the initiatives aims to reduce the risks that financial instability poses to society. In addition to the initiatives undertaken in relation to credit instit</w:t>
      </w:r>
      <w:r w:rsidRPr="00260B8B">
        <w:rPr>
          <w:sz w:val="24"/>
          <w:szCs w:val="24"/>
          <w:lang w:val="en-GB"/>
        </w:rPr>
        <w:t>u</w:t>
      </w:r>
      <w:r w:rsidRPr="00260B8B">
        <w:rPr>
          <w:sz w:val="24"/>
          <w:szCs w:val="24"/>
          <w:lang w:val="en-GB"/>
        </w:rPr>
        <w:t xml:space="preserve">tions, major reforms are under way in relation to the life insurance industry in the form of Solvency II. These initiatives are undertaken at a time when a number of economies are faced with historical fiscal retrenchment, economic growth is anaemic at best and the foundation of the Economic and Monetary Union is under pressure. </w:t>
      </w:r>
    </w:p>
    <w:p w:rsidR="006223D1" w:rsidRPr="00170C30" w:rsidRDefault="006223D1" w:rsidP="00DD7BCD">
      <w:pPr>
        <w:rPr>
          <w:sz w:val="24"/>
          <w:szCs w:val="24"/>
          <w:lang w:val="en-GB"/>
        </w:rPr>
      </w:pPr>
    </w:p>
    <w:p w:rsidR="003D29CB" w:rsidRPr="00170C30" w:rsidRDefault="00260B8B" w:rsidP="00DD7BCD">
      <w:pPr>
        <w:rPr>
          <w:sz w:val="24"/>
          <w:szCs w:val="24"/>
          <w:lang w:val="en-GB"/>
        </w:rPr>
      </w:pPr>
      <w:r w:rsidRPr="00260B8B">
        <w:rPr>
          <w:sz w:val="24"/>
          <w:szCs w:val="24"/>
          <w:lang w:val="en-GB"/>
        </w:rPr>
        <w:t>Two questions deserve to be posed. One, are we at risk of overloading the r</w:t>
      </w:r>
      <w:r w:rsidRPr="00260B8B">
        <w:rPr>
          <w:sz w:val="24"/>
          <w:szCs w:val="24"/>
          <w:lang w:val="en-GB"/>
        </w:rPr>
        <w:t>e</w:t>
      </w:r>
      <w:r w:rsidRPr="00260B8B">
        <w:rPr>
          <w:sz w:val="24"/>
          <w:szCs w:val="24"/>
          <w:lang w:val="en-GB"/>
        </w:rPr>
        <w:t>form agenda with the economy at large as the casualty? Two, even under be</w:t>
      </w:r>
      <w:r w:rsidRPr="00260B8B">
        <w:rPr>
          <w:sz w:val="24"/>
          <w:szCs w:val="24"/>
          <w:lang w:val="en-GB"/>
        </w:rPr>
        <w:t>t</w:t>
      </w:r>
      <w:r w:rsidRPr="00260B8B">
        <w:rPr>
          <w:sz w:val="24"/>
          <w:szCs w:val="24"/>
          <w:lang w:val="en-GB"/>
        </w:rPr>
        <w:t>ter circumstances, growth and prosperity require risk taking, and have we in our eagerness to reduce risks forgotten to consider where that risk is best l</w:t>
      </w:r>
      <w:r w:rsidRPr="00260B8B">
        <w:rPr>
          <w:sz w:val="24"/>
          <w:szCs w:val="24"/>
          <w:lang w:val="en-GB"/>
        </w:rPr>
        <w:t>o</w:t>
      </w:r>
      <w:r w:rsidRPr="00260B8B">
        <w:rPr>
          <w:sz w:val="24"/>
          <w:szCs w:val="24"/>
          <w:lang w:val="en-GB"/>
        </w:rPr>
        <w:t>cated?</w:t>
      </w:r>
    </w:p>
    <w:p w:rsidR="003D29CB" w:rsidRPr="00170C30" w:rsidRDefault="003D29CB" w:rsidP="00DD7BCD">
      <w:pPr>
        <w:rPr>
          <w:sz w:val="24"/>
          <w:szCs w:val="24"/>
          <w:lang w:val="en-GB"/>
        </w:rPr>
      </w:pPr>
    </w:p>
    <w:p w:rsidR="00611D29" w:rsidRPr="00170C30" w:rsidRDefault="00260B8B" w:rsidP="00DD7BCD">
      <w:pPr>
        <w:rPr>
          <w:sz w:val="24"/>
          <w:szCs w:val="24"/>
          <w:lang w:val="en-GB"/>
        </w:rPr>
      </w:pPr>
      <w:r w:rsidRPr="00260B8B">
        <w:rPr>
          <w:sz w:val="24"/>
          <w:szCs w:val="24"/>
          <w:lang w:val="en-GB"/>
        </w:rPr>
        <w:t xml:space="preserve">Returning to Bagehot, in "Lombard Street" he describes how industry and trade in the UK developed and how it was supported by banks. Part of the price was a number of banking crises. However, the UK economy developed a lot earlier than </w:t>
      </w:r>
      <w:r w:rsidR="004F7FCC">
        <w:rPr>
          <w:sz w:val="24"/>
          <w:szCs w:val="24"/>
          <w:lang w:val="en-GB"/>
        </w:rPr>
        <w:t>the economies</w:t>
      </w:r>
      <w:r w:rsidRPr="00260B8B">
        <w:rPr>
          <w:sz w:val="24"/>
          <w:szCs w:val="24"/>
          <w:lang w:val="en-GB"/>
        </w:rPr>
        <w:t xml:space="preserve"> of Germany and France, where the legal fram</w:t>
      </w:r>
      <w:r w:rsidRPr="00260B8B">
        <w:rPr>
          <w:sz w:val="24"/>
          <w:szCs w:val="24"/>
          <w:lang w:val="en-GB"/>
        </w:rPr>
        <w:t>e</w:t>
      </w:r>
      <w:r w:rsidRPr="00260B8B">
        <w:rPr>
          <w:sz w:val="24"/>
          <w:szCs w:val="24"/>
          <w:lang w:val="en-GB"/>
        </w:rPr>
        <w:t xml:space="preserve">work was not supportive of banking, and where savers were likely to see their savings go into the public coffers – an early version of financial repression.  </w:t>
      </w:r>
    </w:p>
    <w:p w:rsidR="00611D29" w:rsidRPr="00170C30" w:rsidRDefault="00611D29" w:rsidP="00DD7BCD">
      <w:pPr>
        <w:rPr>
          <w:sz w:val="24"/>
          <w:szCs w:val="24"/>
          <w:lang w:val="en-GB"/>
        </w:rPr>
      </w:pPr>
    </w:p>
    <w:p w:rsidR="00634F9B" w:rsidRDefault="00260B8B" w:rsidP="00DD7BCD">
      <w:pPr>
        <w:rPr>
          <w:sz w:val="24"/>
          <w:szCs w:val="24"/>
          <w:lang w:val="en-GB"/>
        </w:rPr>
      </w:pPr>
      <w:r w:rsidRPr="00260B8B">
        <w:rPr>
          <w:sz w:val="24"/>
          <w:szCs w:val="24"/>
          <w:lang w:val="en-GB"/>
        </w:rPr>
        <w:t>This is not an argument against reform of the financial system and the regul</w:t>
      </w:r>
      <w:r w:rsidRPr="00260B8B">
        <w:rPr>
          <w:sz w:val="24"/>
          <w:szCs w:val="24"/>
          <w:lang w:val="en-GB"/>
        </w:rPr>
        <w:t>a</w:t>
      </w:r>
      <w:r w:rsidRPr="00260B8B">
        <w:rPr>
          <w:sz w:val="24"/>
          <w:szCs w:val="24"/>
          <w:lang w:val="en-GB"/>
        </w:rPr>
        <w:t>tory framework, but it is an argument in favour of taking a more holistic a</w:t>
      </w:r>
      <w:r w:rsidRPr="00260B8B">
        <w:rPr>
          <w:sz w:val="24"/>
          <w:szCs w:val="24"/>
          <w:lang w:val="en-GB"/>
        </w:rPr>
        <w:t>p</w:t>
      </w:r>
      <w:r w:rsidRPr="00260B8B">
        <w:rPr>
          <w:sz w:val="24"/>
          <w:szCs w:val="24"/>
          <w:lang w:val="en-GB"/>
        </w:rPr>
        <w:t xml:space="preserve">proach to the reforms. </w:t>
      </w:r>
    </w:p>
    <w:p w:rsidR="00544C06" w:rsidRPr="00170C30" w:rsidRDefault="00260B8B" w:rsidP="00DD7BCD">
      <w:pPr>
        <w:rPr>
          <w:sz w:val="24"/>
          <w:szCs w:val="24"/>
          <w:lang w:val="en-GB"/>
        </w:rPr>
      </w:pPr>
      <w:r w:rsidRPr="00260B8B">
        <w:rPr>
          <w:sz w:val="24"/>
          <w:szCs w:val="24"/>
          <w:lang w:val="en-GB"/>
        </w:rPr>
        <w:t xml:space="preserve">The models outlined above are models of individual institutions and the issue of their interaction has only been </w:t>
      </w:r>
      <w:r w:rsidR="00170C30">
        <w:rPr>
          <w:sz w:val="24"/>
          <w:szCs w:val="24"/>
          <w:lang w:val="en-GB"/>
        </w:rPr>
        <w:t>touched on briefly</w:t>
      </w:r>
      <w:r w:rsidRPr="00260B8B">
        <w:rPr>
          <w:sz w:val="24"/>
          <w:szCs w:val="24"/>
          <w:lang w:val="en-GB"/>
        </w:rPr>
        <w:t xml:space="preserve">, cf the discussion on the formulation of LTV restrictions. On the one hand, limiting risks in one area may not limit overall risks, eg if risks are shifted to a part of the financial system that is more vulnerable. On the other hand, building institutions that are safer may require that risks are increased in other parts of the system.      </w:t>
      </w:r>
    </w:p>
    <w:p w:rsidR="00634F9B" w:rsidRPr="00170C30" w:rsidRDefault="00634F9B" w:rsidP="00DD7BCD">
      <w:pPr>
        <w:rPr>
          <w:sz w:val="24"/>
          <w:szCs w:val="24"/>
          <w:lang w:val="en-GB"/>
        </w:rPr>
      </w:pPr>
    </w:p>
    <w:p w:rsidR="00634F9B" w:rsidRPr="00170C30" w:rsidRDefault="00260B8B" w:rsidP="00DD7BCD">
      <w:pPr>
        <w:rPr>
          <w:sz w:val="24"/>
          <w:szCs w:val="24"/>
          <w:lang w:val="en-GB"/>
        </w:rPr>
      </w:pPr>
      <w:r w:rsidRPr="00260B8B">
        <w:rPr>
          <w:sz w:val="24"/>
          <w:szCs w:val="24"/>
          <w:lang w:val="en-GB"/>
        </w:rPr>
        <w:t xml:space="preserve">A more holistic approach should also take into consideration the fundamental changes that </w:t>
      </w:r>
      <w:r w:rsidR="001F2616">
        <w:rPr>
          <w:sz w:val="24"/>
          <w:szCs w:val="24"/>
          <w:lang w:val="en-GB"/>
        </w:rPr>
        <w:t>have</w:t>
      </w:r>
      <w:r w:rsidRPr="00260B8B">
        <w:rPr>
          <w:sz w:val="24"/>
          <w:szCs w:val="24"/>
          <w:lang w:val="en-GB"/>
        </w:rPr>
        <w:t xml:space="preserve"> happened in the financial industry over the last decades. </w:t>
      </w:r>
      <w:r w:rsidR="001F2616">
        <w:rPr>
          <w:sz w:val="24"/>
          <w:szCs w:val="24"/>
          <w:lang w:val="en-GB"/>
        </w:rPr>
        <w:t>For example, s</w:t>
      </w:r>
      <w:r w:rsidRPr="00260B8B">
        <w:rPr>
          <w:sz w:val="24"/>
          <w:szCs w:val="24"/>
          <w:lang w:val="en-GB"/>
        </w:rPr>
        <w:t xml:space="preserve">ince the mid to late </w:t>
      </w:r>
      <w:r w:rsidR="001F2616">
        <w:rPr>
          <w:sz w:val="24"/>
          <w:szCs w:val="24"/>
          <w:lang w:val="en-GB"/>
        </w:rPr>
        <w:t>1970s</w:t>
      </w:r>
      <w:r w:rsidRPr="00260B8B">
        <w:rPr>
          <w:sz w:val="24"/>
          <w:szCs w:val="24"/>
          <w:lang w:val="en-GB"/>
        </w:rPr>
        <w:t>, Denmark has seen not only exp</w:t>
      </w:r>
      <w:r w:rsidRPr="00260B8B">
        <w:rPr>
          <w:sz w:val="24"/>
          <w:szCs w:val="24"/>
          <w:lang w:val="en-GB"/>
        </w:rPr>
        <w:t>o</w:t>
      </w:r>
      <w:r w:rsidRPr="00260B8B">
        <w:rPr>
          <w:sz w:val="24"/>
          <w:szCs w:val="24"/>
          <w:lang w:val="en-GB"/>
        </w:rPr>
        <w:t>nential growth in banks</w:t>
      </w:r>
      <w:r w:rsidR="001F2616">
        <w:rPr>
          <w:sz w:val="24"/>
          <w:szCs w:val="24"/>
          <w:lang w:val="en-GB"/>
        </w:rPr>
        <w:t>'</w:t>
      </w:r>
      <w:r w:rsidRPr="00260B8B">
        <w:rPr>
          <w:sz w:val="24"/>
          <w:szCs w:val="24"/>
          <w:lang w:val="en-GB"/>
        </w:rPr>
        <w:t xml:space="preserve"> balance sheets relative to GDP, but also a very signif</w:t>
      </w:r>
      <w:r w:rsidRPr="00260B8B">
        <w:rPr>
          <w:sz w:val="24"/>
          <w:szCs w:val="24"/>
          <w:lang w:val="en-GB"/>
        </w:rPr>
        <w:t>i</w:t>
      </w:r>
      <w:r w:rsidRPr="00260B8B">
        <w:rPr>
          <w:sz w:val="24"/>
          <w:szCs w:val="24"/>
          <w:lang w:val="en-GB"/>
        </w:rPr>
        <w:t>cant increase in the role of other financial intermediaries, such as life insurance and pension funds as well as investment associations (MFIs), cf Fig 11</w:t>
      </w:r>
      <w:r w:rsidR="00D61EB4">
        <w:rPr>
          <w:rStyle w:val="FootnoteReference"/>
          <w:sz w:val="24"/>
          <w:szCs w:val="24"/>
          <w:lang w:val="en-GB"/>
        </w:rPr>
        <w:footnoteReference w:id="2"/>
      </w:r>
      <w:r w:rsidRPr="00260B8B">
        <w:rPr>
          <w:sz w:val="24"/>
          <w:szCs w:val="24"/>
          <w:lang w:val="en-GB"/>
        </w:rPr>
        <w:t>. Qual</w:t>
      </w:r>
      <w:r w:rsidRPr="00260B8B">
        <w:rPr>
          <w:sz w:val="24"/>
          <w:szCs w:val="24"/>
          <w:lang w:val="en-GB"/>
        </w:rPr>
        <w:t>i</w:t>
      </w:r>
      <w:r w:rsidRPr="00260B8B">
        <w:rPr>
          <w:sz w:val="24"/>
          <w:szCs w:val="24"/>
          <w:lang w:val="en-GB"/>
        </w:rPr>
        <w:t>tative</w:t>
      </w:r>
      <w:r w:rsidR="001F2616">
        <w:rPr>
          <w:sz w:val="24"/>
          <w:szCs w:val="24"/>
          <w:lang w:val="en-GB"/>
        </w:rPr>
        <w:t>ly</w:t>
      </w:r>
      <w:r w:rsidRPr="00260B8B">
        <w:rPr>
          <w:sz w:val="24"/>
          <w:szCs w:val="24"/>
          <w:lang w:val="en-GB"/>
        </w:rPr>
        <w:t xml:space="preserve"> similar developments can be seen in other EU countries, cf </w:t>
      </w:r>
      <w:r w:rsidR="001F2616">
        <w:rPr>
          <w:sz w:val="24"/>
          <w:szCs w:val="24"/>
          <w:lang w:val="en-GB"/>
        </w:rPr>
        <w:t xml:space="preserve">the </w:t>
      </w:r>
      <w:r w:rsidRPr="00260B8B">
        <w:rPr>
          <w:sz w:val="24"/>
          <w:szCs w:val="24"/>
          <w:lang w:val="en-GB"/>
        </w:rPr>
        <w:t>ECB</w:t>
      </w:r>
      <w:r w:rsidR="001F2616">
        <w:rPr>
          <w:sz w:val="24"/>
          <w:szCs w:val="24"/>
          <w:lang w:val="en-GB"/>
        </w:rPr>
        <w:t>'</w:t>
      </w:r>
      <w:r w:rsidRPr="00260B8B">
        <w:rPr>
          <w:sz w:val="24"/>
          <w:szCs w:val="24"/>
          <w:lang w:val="en-GB"/>
        </w:rPr>
        <w:t>s Report on Financial Structures</w:t>
      </w:r>
      <w:r w:rsidRPr="00260B8B">
        <w:rPr>
          <w:i/>
          <w:sz w:val="24"/>
          <w:szCs w:val="24"/>
          <w:lang w:val="en-GB"/>
        </w:rPr>
        <w:t>.</w:t>
      </w:r>
      <w:r w:rsidRPr="00260B8B">
        <w:rPr>
          <w:sz w:val="24"/>
          <w:szCs w:val="24"/>
          <w:lang w:val="en-GB"/>
        </w:rPr>
        <w:t xml:space="preserve"> </w:t>
      </w:r>
    </w:p>
    <w:p w:rsidR="00634F9B" w:rsidRPr="00170C30" w:rsidRDefault="00634F9B" w:rsidP="00DD7BCD">
      <w:pPr>
        <w:rPr>
          <w:sz w:val="24"/>
          <w:szCs w:val="24"/>
          <w:lang w:val="en-GB"/>
        </w:rPr>
      </w:pPr>
    </w:p>
    <w:p w:rsidR="00634F9B" w:rsidRPr="00170C30" w:rsidRDefault="00260B8B" w:rsidP="00DD7BCD">
      <w:pPr>
        <w:rPr>
          <w:sz w:val="24"/>
          <w:szCs w:val="24"/>
          <w:lang w:val="en-GB"/>
        </w:rPr>
      </w:pPr>
      <w:r w:rsidRPr="00260B8B">
        <w:rPr>
          <w:sz w:val="24"/>
          <w:szCs w:val="24"/>
          <w:lang w:val="en-GB"/>
        </w:rPr>
        <w:t>Fig</w:t>
      </w:r>
      <w:r w:rsidR="001F2616">
        <w:rPr>
          <w:sz w:val="24"/>
          <w:szCs w:val="24"/>
          <w:lang w:val="en-GB"/>
        </w:rPr>
        <w:t>ure</w:t>
      </w:r>
      <w:r w:rsidRPr="00260B8B">
        <w:rPr>
          <w:sz w:val="24"/>
          <w:szCs w:val="24"/>
          <w:lang w:val="en-GB"/>
        </w:rPr>
        <w:t xml:space="preserve"> 11: Financial balance sheet developments relative to GDP in Denmark </w:t>
      </w:r>
    </w:p>
    <w:p w:rsidR="00634F9B" w:rsidRPr="00170C30" w:rsidRDefault="002E7ADD" w:rsidP="00DD7BCD">
      <w:pPr>
        <w:rPr>
          <w:sz w:val="24"/>
          <w:szCs w:val="24"/>
          <w:lang w:val="en-GB"/>
        </w:rPr>
      </w:pPr>
      <w:r>
        <w:rPr>
          <w:noProof/>
          <w:sz w:val="24"/>
          <w:szCs w:val="24"/>
          <w:lang w:val="en-GB" w:eastAsia="en-GB"/>
        </w:rPr>
        <w:drawing>
          <wp:inline distT="0" distB="0" distL="0" distR="0">
            <wp:extent cx="5560171" cy="3395586"/>
            <wp:effectExtent l="0" t="0" r="2429" b="0"/>
            <wp:docPr id="1"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srcRect/>
                    <a:stretch>
                      <a:fillRect/>
                    </a:stretch>
                  </pic:blipFill>
                  <pic:spPr bwMode="auto">
                    <a:xfrm>
                      <a:off x="0" y="0"/>
                      <a:ext cx="5563934" cy="3397884"/>
                    </a:xfrm>
                    <a:prstGeom prst="rect">
                      <a:avLst/>
                    </a:prstGeom>
                    <a:noFill/>
                  </pic:spPr>
                </pic:pic>
              </a:graphicData>
            </a:graphic>
          </wp:inline>
        </w:drawing>
      </w:r>
    </w:p>
    <w:p w:rsidR="00634F9B" w:rsidRPr="00170C30" w:rsidRDefault="00260B8B" w:rsidP="00DD7BCD">
      <w:pPr>
        <w:rPr>
          <w:sz w:val="24"/>
          <w:szCs w:val="24"/>
          <w:lang w:val="en-GB"/>
        </w:rPr>
      </w:pPr>
      <w:r w:rsidRPr="00260B8B">
        <w:rPr>
          <w:sz w:val="24"/>
          <w:szCs w:val="24"/>
          <w:lang w:val="en-GB"/>
        </w:rPr>
        <w:t>Source: Abildgren</w:t>
      </w:r>
    </w:p>
    <w:p w:rsidR="00634F9B" w:rsidRPr="00170C30" w:rsidRDefault="00634F9B" w:rsidP="00DD7BCD">
      <w:pPr>
        <w:rPr>
          <w:sz w:val="24"/>
          <w:szCs w:val="24"/>
          <w:lang w:val="en-GB"/>
        </w:rPr>
      </w:pPr>
    </w:p>
    <w:p w:rsidR="001030EF" w:rsidRPr="00170C30" w:rsidRDefault="00260B8B" w:rsidP="00DD7BCD">
      <w:pPr>
        <w:rPr>
          <w:sz w:val="24"/>
          <w:szCs w:val="24"/>
          <w:lang w:val="en-GB"/>
        </w:rPr>
      </w:pPr>
      <w:r w:rsidRPr="00260B8B">
        <w:rPr>
          <w:sz w:val="24"/>
          <w:szCs w:val="24"/>
          <w:lang w:val="en-GB"/>
        </w:rPr>
        <w:t xml:space="preserve">The </w:t>
      </w:r>
      <w:r w:rsidR="001F2616">
        <w:rPr>
          <w:sz w:val="24"/>
          <w:szCs w:val="24"/>
          <w:lang w:val="en-GB"/>
        </w:rPr>
        <w:t xml:space="preserve">increase in </w:t>
      </w:r>
      <w:r w:rsidRPr="00260B8B">
        <w:rPr>
          <w:sz w:val="24"/>
          <w:szCs w:val="24"/>
          <w:lang w:val="en-GB"/>
        </w:rPr>
        <w:t xml:space="preserve">life insurance, pension fund and investment association savings </w:t>
      </w:r>
      <w:r w:rsidR="001F2616">
        <w:rPr>
          <w:sz w:val="24"/>
          <w:szCs w:val="24"/>
          <w:lang w:val="en-GB"/>
        </w:rPr>
        <w:t>constitutes</w:t>
      </w:r>
      <w:r w:rsidRPr="00260B8B">
        <w:rPr>
          <w:sz w:val="24"/>
          <w:szCs w:val="24"/>
          <w:lang w:val="en-GB"/>
        </w:rPr>
        <w:t xml:space="preserve"> an increase in savings that are less subject to run risk, if at all su</w:t>
      </w:r>
      <w:r w:rsidRPr="00260B8B">
        <w:rPr>
          <w:sz w:val="24"/>
          <w:szCs w:val="24"/>
          <w:lang w:val="en-GB"/>
        </w:rPr>
        <w:t>b</w:t>
      </w:r>
      <w:r w:rsidRPr="00260B8B">
        <w:rPr>
          <w:sz w:val="24"/>
          <w:szCs w:val="24"/>
          <w:lang w:val="en-GB"/>
        </w:rPr>
        <w:t>ject to such risk. This should allow some move</w:t>
      </w:r>
      <w:r w:rsidR="001F2616">
        <w:rPr>
          <w:sz w:val="24"/>
          <w:szCs w:val="24"/>
          <w:lang w:val="en-GB"/>
        </w:rPr>
        <w:t>ment</w:t>
      </w:r>
      <w:r w:rsidRPr="00260B8B">
        <w:rPr>
          <w:sz w:val="24"/>
          <w:szCs w:val="24"/>
          <w:lang w:val="en-GB"/>
        </w:rPr>
        <w:t xml:space="preserve"> of long</w:t>
      </w:r>
      <w:r w:rsidR="001F2616">
        <w:rPr>
          <w:sz w:val="24"/>
          <w:szCs w:val="24"/>
          <w:lang w:val="en-GB"/>
        </w:rPr>
        <w:t>-</w:t>
      </w:r>
      <w:r w:rsidRPr="00260B8B">
        <w:rPr>
          <w:sz w:val="24"/>
          <w:szCs w:val="24"/>
          <w:lang w:val="en-GB"/>
        </w:rPr>
        <w:t>term finance from banks to these other intermediaries. However, in this larger context</w:t>
      </w:r>
      <w:r w:rsidR="001F2616">
        <w:rPr>
          <w:sz w:val="24"/>
          <w:szCs w:val="24"/>
          <w:lang w:val="en-GB"/>
        </w:rPr>
        <w:t>,</w:t>
      </w:r>
      <w:r w:rsidRPr="00260B8B">
        <w:rPr>
          <w:sz w:val="24"/>
          <w:szCs w:val="24"/>
          <w:lang w:val="en-GB"/>
        </w:rPr>
        <w:t xml:space="preserve"> Solvency II may inhibit life insurers from taking on their natural role, given the large capital requirements imposed on credit risk in Solvency II.</w:t>
      </w:r>
    </w:p>
    <w:p w:rsidR="001030EF" w:rsidRPr="00170C30" w:rsidRDefault="001030EF" w:rsidP="00DD7BCD">
      <w:pPr>
        <w:rPr>
          <w:sz w:val="24"/>
          <w:szCs w:val="24"/>
          <w:lang w:val="en-GB"/>
        </w:rPr>
      </w:pPr>
    </w:p>
    <w:p w:rsidR="00C14353" w:rsidRPr="00170C30" w:rsidRDefault="00260B8B" w:rsidP="00DD7BCD">
      <w:pPr>
        <w:rPr>
          <w:sz w:val="24"/>
          <w:szCs w:val="24"/>
          <w:lang w:val="en-GB"/>
        </w:rPr>
      </w:pPr>
      <w:r w:rsidRPr="00260B8B">
        <w:rPr>
          <w:sz w:val="24"/>
          <w:szCs w:val="24"/>
          <w:lang w:val="en-GB"/>
        </w:rPr>
        <w:t>It is noteworthy that mortgage</w:t>
      </w:r>
      <w:r w:rsidR="001F2616">
        <w:rPr>
          <w:sz w:val="24"/>
          <w:szCs w:val="24"/>
          <w:lang w:val="en-GB"/>
        </w:rPr>
        <w:t xml:space="preserve"> banks'</w:t>
      </w:r>
      <w:r w:rsidRPr="00260B8B">
        <w:rPr>
          <w:sz w:val="24"/>
          <w:szCs w:val="24"/>
          <w:lang w:val="en-GB"/>
        </w:rPr>
        <w:t xml:space="preserve"> balance sheets, which are dominated by mortgages on the asset side and covered bonds on the liability side, in most years far exceed the balance sheets of life insurers, pension funds and inves</w:t>
      </w:r>
      <w:r w:rsidRPr="00260B8B">
        <w:rPr>
          <w:sz w:val="24"/>
          <w:szCs w:val="24"/>
          <w:lang w:val="en-GB"/>
        </w:rPr>
        <w:t>t</w:t>
      </w:r>
      <w:r w:rsidRPr="00260B8B">
        <w:rPr>
          <w:sz w:val="24"/>
          <w:szCs w:val="24"/>
          <w:lang w:val="en-GB"/>
        </w:rPr>
        <w:t>ment associations. Even today</w:t>
      </w:r>
      <w:r w:rsidR="001F2616">
        <w:rPr>
          <w:sz w:val="24"/>
          <w:szCs w:val="24"/>
          <w:lang w:val="en-GB"/>
        </w:rPr>
        <w:t>,</w:t>
      </w:r>
      <w:r w:rsidRPr="00260B8B">
        <w:rPr>
          <w:sz w:val="24"/>
          <w:szCs w:val="24"/>
          <w:lang w:val="en-GB"/>
        </w:rPr>
        <w:t xml:space="preserve"> the aforementioned institutions would have to spend an excessive amount of their resources were they to buy all outstanding covered bonds. Thus, banks, households, corporate</w:t>
      </w:r>
      <w:r w:rsidR="001F2616">
        <w:rPr>
          <w:sz w:val="24"/>
          <w:szCs w:val="24"/>
          <w:lang w:val="en-GB"/>
        </w:rPr>
        <w:t>s</w:t>
      </w:r>
      <w:r w:rsidRPr="00260B8B">
        <w:rPr>
          <w:sz w:val="24"/>
          <w:szCs w:val="24"/>
          <w:lang w:val="en-GB"/>
        </w:rPr>
        <w:t xml:space="preserve"> and foreigners have </w:t>
      </w:r>
      <w:r w:rsidR="001F2616">
        <w:rPr>
          <w:sz w:val="24"/>
          <w:szCs w:val="24"/>
          <w:lang w:val="en-GB"/>
        </w:rPr>
        <w:t>bought</w:t>
      </w:r>
      <w:r w:rsidRPr="00260B8B">
        <w:rPr>
          <w:sz w:val="24"/>
          <w:szCs w:val="24"/>
          <w:lang w:val="en-GB"/>
        </w:rPr>
        <w:t xml:space="preserve"> and still buy the bulk of covered bonds, cf Fig 12.</w:t>
      </w:r>
    </w:p>
    <w:p w:rsidR="00C14353" w:rsidRPr="00170C30" w:rsidRDefault="00C14353" w:rsidP="00DD7BCD">
      <w:pPr>
        <w:rPr>
          <w:sz w:val="24"/>
          <w:szCs w:val="24"/>
          <w:lang w:val="en-GB"/>
        </w:rPr>
      </w:pPr>
    </w:p>
    <w:p w:rsidR="00C14353" w:rsidRPr="00170C30" w:rsidRDefault="00260B8B" w:rsidP="00DD7BCD">
      <w:pPr>
        <w:rPr>
          <w:i/>
          <w:sz w:val="24"/>
          <w:szCs w:val="24"/>
          <w:lang w:val="en-GB"/>
        </w:rPr>
      </w:pPr>
      <w:r w:rsidRPr="00260B8B">
        <w:rPr>
          <w:i/>
          <w:sz w:val="24"/>
          <w:szCs w:val="24"/>
          <w:lang w:val="en-GB"/>
        </w:rPr>
        <w:t>Fig</w:t>
      </w:r>
      <w:r w:rsidR="001F2616">
        <w:rPr>
          <w:i/>
          <w:sz w:val="24"/>
          <w:szCs w:val="24"/>
          <w:lang w:val="en-GB"/>
        </w:rPr>
        <w:t>ure</w:t>
      </w:r>
      <w:r w:rsidRPr="00260B8B">
        <w:rPr>
          <w:i/>
          <w:sz w:val="24"/>
          <w:szCs w:val="24"/>
          <w:lang w:val="en-GB"/>
        </w:rPr>
        <w:t xml:space="preserve"> 12: Investor distribution of Danish covered bonds</w:t>
      </w:r>
    </w:p>
    <w:p w:rsidR="00C14353" w:rsidRPr="00170C30" w:rsidRDefault="00C14353" w:rsidP="00DD7BCD">
      <w:pPr>
        <w:rPr>
          <w:sz w:val="24"/>
          <w:szCs w:val="24"/>
          <w:lang w:val="en-GB"/>
        </w:rPr>
      </w:pPr>
    </w:p>
    <w:p w:rsidR="007F0EC1" w:rsidRPr="00170C30" w:rsidRDefault="002E7ADD" w:rsidP="00DD7BCD">
      <w:pPr>
        <w:rPr>
          <w:sz w:val="24"/>
          <w:szCs w:val="24"/>
          <w:lang w:val="en-GB"/>
        </w:rPr>
      </w:pPr>
      <w:r>
        <w:rPr>
          <w:noProof/>
          <w:szCs w:val="24"/>
          <w:lang w:val="en-GB" w:eastAsia="en-GB"/>
        </w:rPr>
        <w:drawing>
          <wp:inline distT="0" distB="0" distL="0" distR="0">
            <wp:extent cx="5038725" cy="2218307"/>
            <wp:effectExtent l="19050" t="0" r="9525" b="0"/>
            <wp:docPr id="5"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srcRect/>
                    <a:stretch>
                      <a:fillRect/>
                    </a:stretch>
                  </pic:blipFill>
                  <pic:spPr bwMode="auto">
                    <a:xfrm>
                      <a:off x="0" y="0"/>
                      <a:ext cx="5038725" cy="2218307"/>
                    </a:xfrm>
                    <a:prstGeom prst="rect">
                      <a:avLst/>
                    </a:prstGeom>
                    <a:noFill/>
                    <a:ln w="9525">
                      <a:noFill/>
                      <a:miter lim="800000"/>
                      <a:headEnd/>
                      <a:tailEnd/>
                    </a:ln>
                  </pic:spPr>
                </pic:pic>
              </a:graphicData>
            </a:graphic>
          </wp:inline>
        </w:drawing>
      </w:r>
    </w:p>
    <w:p w:rsidR="007F0EC1" w:rsidRPr="00170C30" w:rsidRDefault="00260B8B" w:rsidP="00DD7BCD">
      <w:pPr>
        <w:rPr>
          <w:sz w:val="24"/>
          <w:szCs w:val="24"/>
          <w:lang w:val="en-GB"/>
        </w:rPr>
      </w:pPr>
      <w:r w:rsidRPr="00260B8B">
        <w:rPr>
          <w:sz w:val="24"/>
          <w:szCs w:val="24"/>
          <w:lang w:val="en-GB"/>
        </w:rPr>
        <w:t>Source: Danmarks Nationalbank</w:t>
      </w:r>
    </w:p>
    <w:p w:rsidR="00E06B78" w:rsidRPr="00170C30" w:rsidRDefault="00E06B78" w:rsidP="00DD7BCD">
      <w:pPr>
        <w:rPr>
          <w:sz w:val="24"/>
          <w:szCs w:val="24"/>
          <w:lang w:val="en-GB"/>
        </w:rPr>
      </w:pPr>
    </w:p>
    <w:p w:rsidR="00E73AF2" w:rsidRPr="00170C30" w:rsidRDefault="00260B8B" w:rsidP="00DD7BCD">
      <w:pPr>
        <w:rPr>
          <w:sz w:val="24"/>
          <w:szCs w:val="24"/>
          <w:lang w:val="en-GB"/>
        </w:rPr>
      </w:pPr>
      <w:r w:rsidRPr="00260B8B">
        <w:rPr>
          <w:sz w:val="24"/>
          <w:szCs w:val="24"/>
          <w:lang w:val="en-GB"/>
        </w:rPr>
        <w:t xml:space="preserve">The business model of mortgage </w:t>
      </w:r>
      <w:r w:rsidR="001F2616">
        <w:rPr>
          <w:sz w:val="24"/>
          <w:szCs w:val="24"/>
          <w:lang w:val="en-GB"/>
        </w:rPr>
        <w:t>banks</w:t>
      </w:r>
      <w:r w:rsidRPr="00260B8B">
        <w:rPr>
          <w:sz w:val="24"/>
          <w:szCs w:val="24"/>
          <w:lang w:val="en-GB"/>
        </w:rPr>
        <w:t xml:space="preserve"> is well suited to continue to play a si</w:t>
      </w:r>
      <w:r w:rsidRPr="00260B8B">
        <w:rPr>
          <w:sz w:val="24"/>
          <w:szCs w:val="24"/>
          <w:lang w:val="en-GB"/>
        </w:rPr>
        <w:t>g</w:t>
      </w:r>
      <w:r w:rsidRPr="00260B8B">
        <w:rPr>
          <w:sz w:val="24"/>
          <w:szCs w:val="24"/>
          <w:lang w:val="en-GB"/>
        </w:rPr>
        <w:t>nificant role in longer</w:t>
      </w:r>
      <w:r w:rsidR="001F2616">
        <w:rPr>
          <w:sz w:val="24"/>
          <w:szCs w:val="24"/>
          <w:lang w:val="en-GB"/>
        </w:rPr>
        <w:t>-</w:t>
      </w:r>
      <w:r w:rsidRPr="00260B8B">
        <w:rPr>
          <w:sz w:val="24"/>
          <w:szCs w:val="24"/>
          <w:lang w:val="en-GB"/>
        </w:rPr>
        <w:t>term finance</w:t>
      </w:r>
      <w:r w:rsidR="001F2616">
        <w:rPr>
          <w:sz w:val="24"/>
          <w:szCs w:val="24"/>
          <w:lang w:val="en-GB"/>
        </w:rPr>
        <w:t>,</w:t>
      </w:r>
      <w:r w:rsidRPr="00260B8B">
        <w:rPr>
          <w:sz w:val="24"/>
          <w:szCs w:val="24"/>
          <w:lang w:val="en-GB"/>
        </w:rPr>
        <w:t xml:space="preserve"> and with the increased role of longer</w:t>
      </w:r>
      <w:r w:rsidR="001F2616">
        <w:rPr>
          <w:sz w:val="24"/>
          <w:szCs w:val="24"/>
          <w:lang w:val="en-GB"/>
        </w:rPr>
        <w:t>-</w:t>
      </w:r>
      <w:r w:rsidRPr="00260B8B">
        <w:rPr>
          <w:sz w:val="24"/>
          <w:szCs w:val="24"/>
          <w:lang w:val="en-GB"/>
        </w:rPr>
        <w:t>term institutional investors, there are more natural investors in long</w:t>
      </w:r>
      <w:r w:rsidR="001F2616">
        <w:rPr>
          <w:sz w:val="24"/>
          <w:szCs w:val="24"/>
          <w:lang w:val="en-GB"/>
        </w:rPr>
        <w:t>-</w:t>
      </w:r>
      <w:r w:rsidRPr="00260B8B">
        <w:rPr>
          <w:sz w:val="24"/>
          <w:szCs w:val="24"/>
          <w:lang w:val="en-GB"/>
        </w:rPr>
        <w:t xml:space="preserve">term assets. However, even with the growth </w:t>
      </w:r>
      <w:r w:rsidR="001F2616">
        <w:rPr>
          <w:sz w:val="24"/>
          <w:szCs w:val="24"/>
          <w:lang w:val="en-GB"/>
        </w:rPr>
        <w:t>in</w:t>
      </w:r>
      <w:r w:rsidRPr="00260B8B">
        <w:rPr>
          <w:sz w:val="24"/>
          <w:szCs w:val="24"/>
          <w:lang w:val="en-GB"/>
        </w:rPr>
        <w:t xml:space="preserve"> longer</w:t>
      </w:r>
      <w:r w:rsidR="001F2616">
        <w:rPr>
          <w:sz w:val="24"/>
          <w:szCs w:val="24"/>
          <w:lang w:val="en-GB"/>
        </w:rPr>
        <w:t>-</w:t>
      </w:r>
      <w:r w:rsidRPr="00260B8B">
        <w:rPr>
          <w:sz w:val="24"/>
          <w:szCs w:val="24"/>
          <w:lang w:val="en-GB"/>
        </w:rPr>
        <w:t xml:space="preserve">term investors, </w:t>
      </w:r>
      <w:r w:rsidR="001F2616">
        <w:rPr>
          <w:sz w:val="24"/>
          <w:szCs w:val="24"/>
          <w:lang w:val="en-GB"/>
        </w:rPr>
        <w:t xml:space="preserve">it is unlikely that </w:t>
      </w:r>
      <w:r w:rsidRPr="00260B8B">
        <w:rPr>
          <w:sz w:val="24"/>
          <w:szCs w:val="24"/>
          <w:lang w:val="en-GB"/>
        </w:rPr>
        <w:t>there will be enough</w:t>
      </w:r>
      <w:r w:rsidR="001F2616">
        <w:rPr>
          <w:sz w:val="24"/>
          <w:szCs w:val="24"/>
          <w:lang w:val="en-GB"/>
        </w:rPr>
        <w:t xml:space="preserve"> investors</w:t>
      </w:r>
      <w:r w:rsidRPr="00260B8B">
        <w:rPr>
          <w:sz w:val="24"/>
          <w:szCs w:val="24"/>
          <w:lang w:val="en-GB"/>
        </w:rPr>
        <w:t xml:space="preserve"> for whom </w:t>
      </w:r>
      <w:r w:rsidR="001F2616">
        <w:rPr>
          <w:sz w:val="24"/>
          <w:szCs w:val="24"/>
          <w:lang w:val="en-GB"/>
        </w:rPr>
        <w:t>30-</w:t>
      </w:r>
      <w:r w:rsidRPr="00260B8B">
        <w:rPr>
          <w:sz w:val="24"/>
          <w:szCs w:val="24"/>
          <w:lang w:val="en-GB"/>
        </w:rPr>
        <w:t xml:space="preserve">year covered bonds </w:t>
      </w:r>
      <w:r w:rsidR="001F2616">
        <w:rPr>
          <w:sz w:val="24"/>
          <w:szCs w:val="24"/>
          <w:lang w:val="en-GB"/>
        </w:rPr>
        <w:t>are</w:t>
      </w:r>
      <w:r w:rsidRPr="00260B8B">
        <w:rPr>
          <w:sz w:val="24"/>
          <w:szCs w:val="24"/>
          <w:lang w:val="en-GB"/>
        </w:rPr>
        <w:t xml:space="preserve"> the natural habitat. Thus, maturity transformation and its associated risks will still be part of the financial system. The question is, where should we </w:t>
      </w:r>
      <w:r w:rsidR="001F2616">
        <w:rPr>
          <w:sz w:val="24"/>
          <w:szCs w:val="24"/>
          <w:lang w:val="en-GB"/>
        </w:rPr>
        <w:t>place</w:t>
      </w:r>
      <w:r w:rsidRPr="00260B8B">
        <w:rPr>
          <w:sz w:val="24"/>
          <w:szCs w:val="24"/>
          <w:lang w:val="en-GB"/>
        </w:rPr>
        <w:t xml:space="preserve"> it?</w:t>
      </w:r>
    </w:p>
    <w:p w:rsidR="00E73AF2" w:rsidRPr="00170C30" w:rsidRDefault="00E73AF2" w:rsidP="00DD7BCD">
      <w:pPr>
        <w:rPr>
          <w:sz w:val="24"/>
          <w:szCs w:val="24"/>
          <w:lang w:val="en-GB"/>
        </w:rPr>
      </w:pPr>
    </w:p>
    <w:p w:rsidR="00C3029E" w:rsidRPr="00170C30" w:rsidRDefault="00260B8B" w:rsidP="00DD7BCD">
      <w:pPr>
        <w:rPr>
          <w:sz w:val="24"/>
          <w:szCs w:val="24"/>
          <w:lang w:val="en-GB"/>
        </w:rPr>
      </w:pPr>
      <w:r w:rsidRPr="00260B8B">
        <w:rPr>
          <w:sz w:val="24"/>
          <w:szCs w:val="24"/>
          <w:lang w:val="en-GB"/>
        </w:rPr>
        <w:t>The regulatory environment for mortgage finance has to reflect both the obje</w:t>
      </w:r>
      <w:r w:rsidRPr="00260B8B">
        <w:rPr>
          <w:sz w:val="24"/>
          <w:szCs w:val="24"/>
          <w:lang w:val="en-GB"/>
        </w:rPr>
        <w:t>c</w:t>
      </w:r>
      <w:r w:rsidRPr="00260B8B">
        <w:rPr>
          <w:sz w:val="24"/>
          <w:szCs w:val="24"/>
          <w:lang w:val="en-GB"/>
        </w:rPr>
        <w:t xml:space="preserve">tive of matching the natural habitats and </w:t>
      </w:r>
      <w:r w:rsidR="001F2616">
        <w:rPr>
          <w:sz w:val="24"/>
          <w:szCs w:val="24"/>
          <w:lang w:val="en-GB"/>
        </w:rPr>
        <w:t>creating</w:t>
      </w:r>
      <w:r w:rsidRPr="00260B8B">
        <w:rPr>
          <w:sz w:val="24"/>
          <w:szCs w:val="24"/>
          <w:lang w:val="en-GB"/>
        </w:rPr>
        <w:t xml:space="preserve"> habitats where they do least harm to financial stability. This applies to the treatment of covered bonds as investments for both credit institutions under </w:t>
      </w:r>
      <w:r w:rsidR="001F2616">
        <w:rPr>
          <w:sz w:val="24"/>
          <w:szCs w:val="24"/>
          <w:lang w:val="en-GB"/>
        </w:rPr>
        <w:t xml:space="preserve">the </w:t>
      </w:r>
      <w:r w:rsidRPr="00260B8B">
        <w:rPr>
          <w:sz w:val="24"/>
          <w:szCs w:val="24"/>
          <w:lang w:val="en-GB"/>
        </w:rPr>
        <w:t xml:space="preserve">CRD/CRR and life insurance companies under Solvency II. </w:t>
      </w:r>
    </w:p>
    <w:p w:rsidR="00C3029E" w:rsidRPr="00170C30" w:rsidRDefault="00260B8B" w:rsidP="00DD7BCD">
      <w:pPr>
        <w:rPr>
          <w:sz w:val="24"/>
          <w:szCs w:val="24"/>
          <w:lang w:val="en-GB"/>
        </w:rPr>
      </w:pPr>
      <w:r w:rsidRPr="00260B8B">
        <w:rPr>
          <w:sz w:val="24"/>
          <w:szCs w:val="24"/>
          <w:lang w:val="en-GB"/>
        </w:rPr>
        <w:t>EU</w:t>
      </w:r>
      <w:r w:rsidR="001F2616">
        <w:rPr>
          <w:sz w:val="24"/>
          <w:szCs w:val="24"/>
          <w:lang w:val="en-GB"/>
        </w:rPr>
        <w:t xml:space="preserve"> regulators</w:t>
      </w:r>
      <w:r w:rsidRPr="00260B8B">
        <w:rPr>
          <w:sz w:val="24"/>
          <w:szCs w:val="24"/>
          <w:lang w:val="en-GB"/>
        </w:rPr>
        <w:t xml:space="preserve"> have wisely gone far in this direction both </w:t>
      </w:r>
      <w:r w:rsidR="001F2616">
        <w:rPr>
          <w:sz w:val="24"/>
          <w:szCs w:val="24"/>
          <w:lang w:val="en-GB"/>
        </w:rPr>
        <w:t xml:space="preserve">in the </w:t>
      </w:r>
      <w:r w:rsidRPr="00260B8B">
        <w:rPr>
          <w:sz w:val="24"/>
          <w:szCs w:val="24"/>
          <w:lang w:val="en-GB"/>
        </w:rPr>
        <w:t>CRD/CRR and in Solvency II. The qualities of covered bonds are recogni</w:t>
      </w:r>
      <w:r w:rsidR="001F2616">
        <w:rPr>
          <w:sz w:val="24"/>
          <w:szCs w:val="24"/>
          <w:lang w:val="en-GB"/>
        </w:rPr>
        <w:t>s</w:t>
      </w:r>
      <w:r w:rsidRPr="00260B8B">
        <w:rPr>
          <w:sz w:val="24"/>
          <w:szCs w:val="24"/>
          <w:lang w:val="en-GB"/>
        </w:rPr>
        <w:t>ed both in terms of capital weights and liquidity. However, further adjustments may be warranted in order to reach the full potential of what covered bonds can contribute to f</w:t>
      </w:r>
      <w:r w:rsidRPr="00260B8B">
        <w:rPr>
          <w:sz w:val="24"/>
          <w:szCs w:val="24"/>
          <w:lang w:val="en-GB"/>
        </w:rPr>
        <w:t>i</w:t>
      </w:r>
      <w:r w:rsidRPr="00260B8B">
        <w:rPr>
          <w:sz w:val="24"/>
          <w:szCs w:val="24"/>
          <w:lang w:val="en-GB"/>
        </w:rPr>
        <w:t>nancial stability.</w:t>
      </w:r>
    </w:p>
    <w:p w:rsidR="00B0495C" w:rsidRPr="00170C30" w:rsidRDefault="00B0495C" w:rsidP="00DD7BCD">
      <w:pPr>
        <w:rPr>
          <w:sz w:val="24"/>
          <w:szCs w:val="24"/>
          <w:lang w:val="en-GB"/>
        </w:rPr>
      </w:pPr>
    </w:p>
    <w:p w:rsidR="00A90BCE" w:rsidRPr="00170C30" w:rsidRDefault="00A90BCE" w:rsidP="00DD7BCD">
      <w:pPr>
        <w:rPr>
          <w:sz w:val="24"/>
          <w:szCs w:val="24"/>
          <w:lang w:val="en-GB"/>
        </w:rPr>
      </w:pPr>
    </w:p>
    <w:p w:rsidR="00A90BCE" w:rsidRPr="00D230B3" w:rsidRDefault="00260B8B" w:rsidP="00DD7BCD">
      <w:pPr>
        <w:rPr>
          <w:i/>
          <w:sz w:val="24"/>
          <w:szCs w:val="24"/>
        </w:rPr>
      </w:pPr>
      <w:r w:rsidRPr="00D230B3">
        <w:rPr>
          <w:i/>
          <w:sz w:val="24"/>
          <w:szCs w:val="24"/>
        </w:rPr>
        <w:t>References:</w:t>
      </w:r>
    </w:p>
    <w:p w:rsidR="00E06B78" w:rsidRPr="00D230B3" w:rsidRDefault="00E06B78" w:rsidP="00DD7BCD">
      <w:pPr>
        <w:rPr>
          <w:i/>
          <w:sz w:val="24"/>
          <w:szCs w:val="24"/>
        </w:rPr>
      </w:pPr>
    </w:p>
    <w:p w:rsidR="00E06B78" w:rsidRPr="00170C30" w:rsidRDefault="00260B8B" w:rsidP="00A90BCE">
      <w:pPr>
        <w:rPr>
          <w:sz w:val="24"/>
          <w:szCs w:val="24"/>
          <w:lang w:val="en-GB"/>
        </w:rPr>
      </w:pPr>
      <w:r w:rsidRPr="00D230B3">
        <w:rPr>
          <w:sz w:val="24"/>
          <w:szCs w:val="24"/>
        </w:rPr>
        <w:t xml:space="preserve">Abildgren: Kvantitative studier af Danmarks monetære og finansielle historie. </w:t>
      </w:r>
      <w:r w:rsidRPr="00260B8B">
        <w:rPr>
          <w:sz w:val="24"/>
          <w:szCs w:val="24"/>
          <w:lang w:val="en-GB"/>
        </w:rPr>
        <w:t xml:space="preserve">Danmarks Nationalbank, </w:t>
      </w:r>
      <w:r w:rsidR="004F7FCC">
        <w:rPr>
          <w:sz w:val="24"/>
          <w:szCs w:val="24"/>
          <w:lang w:val="en-GB"/>
        </w:rPr>
        <w:t>Copenhagen</w:t>
      </w:r>
      <w:r w:rsidRPr="00260B8B">
        <w:rPr>
          <w:sz w:val="24"/>
          <w:szCs w:val="24"/>
          <w:lang w:val="en-GB"/>
        </w:rPr>
        <w:t>, 2010.</w:t>
      </w:r>
    </w:p>
    <w:p w:rsidR="00E06B78" w:rsidRPr="00170C30" w:rsidRDefault="00E06B78" w:rsidP="00A90BCE">
      <w:pPr>
        <w:rPr>
          <w:sz w:val="24"/>
          <w:szCs w:val="24"/>
          <w:lang w:val="en-GB"/>
        </w:rPr>
      </w:pPr>
    </w:p>
    <w:p w:rsidR="00A90BCE" w:rsidRPr="00170C30" w:rsidRDefault="00260B8B" w:rsidP="00A90BCE">
      <w:pPr>
        <w:rPr>
          <w:sz w:val="24"/>
          <w:szCs w:val="24"/>
          <w:lang w:val="en-GB"/>
        </w:rPr>
      </w:pPr>
      <w:r w:rsidRPr="00260B8B">
        <w:rPr>
          <w:sz w:val="24"/>
          <w:szCs w:val="24"/>
          <w:lang w:val="en-GB"/>
        </w:rPr>
        <w:t>Bagehot: Lombard Street:</w:t>
      </w:r>
      <w:r w:rsidR="001F2616">
        <w:rPr>
          <w:sz w:val="24"/>
          <w:szCs w:val="24"/>
          <w:lang w:val="en-GB"/>
        </w:rPr>
        <w:t xml:space="preserve"> </w:t>
      </w:r>
      <w:r w:rsidRPr="00260B8B">
        <w:rPr>
          <w:sz w:val="24"/>
          <w:szCs w:val="24"/>
          <w:lang w:val="en-GB"/>
        </w:rPr>
        <w:t xml:space="preserve">A </w:t>
      </w:r>
      <w:r w:rsidR="00BC0C78">
        <w:rPr>
          <w:sz w:val="24"/>
          <w:szCs w:val="24"/>
          <w:lang w:val="en-GB"/>
        </w:rPr>
        <w:t>D</w:t>
      </w:r>
      <w:r w:rsidRPr="00260B8B">
        <w:rPr>
          <w:sz w:val="24"/>
          <w:szCs w:val="24"/>
          <w:lang w:val="en-GB"/>
        </w:rPr>
        <w:t>escription of the Money Market. Henry S. King &amp; Co, London 1873.</w:t>
      </w:r>
    </w:p>
    <w:p w:rsidR="00A90BCE" w:rsidRPr="00170C30" w:rsidRDefault="00A90BCE" w:rsidP="00A90BCE">
      <w:pPr>
        <w:rPr>
          <w:sz w:val="24"/>
          <w:szCs w:val="24"/>
          <w:lang w:val="en-GB"/>
        </w:rPr>
      </w:pPr>
    </w:p>
    <w:p w:rsidR="00A90BCE" w:rsidRPr="00170C30" w:rsidRDefault="00260B8B" w:rsidP="00A90BCE">
      <w:pPr>
        <w:rPr>
          <w:sz w:val="24"/>
          <w:szCs w:val="24"/>
          <w:lang w:val="en-GB"/>
        </w:rPr>
      </w:pPr>
      <w:r w:rsidRPr="00260B8B">
        <w:rPr>
          <w:sz w:val="24"/>
          <w:szCs w:val="24"/>
          <w:lang w:val="en-GB"/>
        </w:rPr>
        <w:t>Bernanke: Essay on the Great Depression. Princeton University Press, 2004</w:t>
      </w:r>
      <w:r w:rsidR="004F7FCC">
        <w:rPr>
          <w:sz w:val="24"/>
          <w:szCs w:val="24"/>
          <w:lang w:val="en-GB"/>
        </w:rPr>
        <w:t>.</w:t>
      </w:r>
    </w:p>
    <w:p w:rsidR="00A90BCE" w:rsidRPr="00170C30" w:rsidRDefault="00A90BCE" w:rsidP="00A90BCE">
      <w:pPr>
        <w:rPr>
          <w:sz w:val="24"/>
          <w:szCs w:val="24"/>
          <w:lang w:val="en-GB"/>
        </w:rPr>
      </w:pPr>
    </w:p>
    <w:p w:rsidR="00D03B09" w:rsidRPr="00170C30" w:rsidRDefault="00260B8B" w:rsidP="00D03B09">
      <w:pPr>
        <w:rPr>
          <w:sz w:val="24"/>
          <w:szCs w:val="24"/>
          <w:lang w:val="en-GB"/>
        </w:rPr>
      </w:pPr>
      <w:r w:rsidRPr="00260B8B">
        <w:rPr>
          <w:sz w:val="24"/>
          <w:szCs w:val="24"/>
          <w:lang w:val="en-GB"/>
        </w:rPr>
        <w:t xml:space="preserve">Buchholst, Gyntelberg </w:t>
      </w:r>
      <w:r w:rsidR="001F2616">
        <w:rPr>
          <w:sz w:val="24"/>
          <w:szCs w:val="24"/>
          <w:lang w:val="en-GB"/>
        </w:rPr>
        <w:t>and</w:t>
      </w:r>
      <w:r w:rsidRPr="00260B8B">
        <w:rPr>
          <w:sz w:val="24"/>
          <w:szCs w:val="24"/>
          <w:lang w:val="en-GB"/>
        </w:rPr>
        <w:t xml:space="preserve"> Sangill: Liquidity of Danish Government and Co</w:t>
      </w:r>
      <w:r w:rsidRPr="00260B8B">
        <w:rPr>
          <w:sz w:val="24"/>
          <w:szCs w:val="24"/>
          <w:lang w:val="en-GB"/>
        </w:rPr>
        <w:t>v</w:t>
      </w:r>
      <w:r w:rsidRPr="00260B8B">
        <w:rPr>
          <w:sz w:val="24"/>
          <w:szCs w:val="24"/>
          <w:lang w:val="en-GB"/>
        </w:rPr>
        <w:t>ered Bonds – Before, During and After the Financial Crisis – Preliminary Fin</w:t>
      </w:r>
      <w:r w:rsidRPr="00260B8B">
        <w:rPr>
          <w:sz w:val="24"/>
          <w:szCs w:val="24"/>
          <w:lang w:val="en-GB"/>
        </w:rPr>
        <w:t>d</w:t>
      </w:r>
      <w:r w:rsidRPr="00260B8B">
        <w:rPr>
          <w:sz w:val="24"/>
          <w:szCs w:val="24"/>
          <w:lang w:val="en-GB"/>
        </w:rPr>
        <w:t>ings. Danmarks Nationalbank, 2010.</w:t>
      </w:r>
    </w:p>
    <w:p w:rsidR="00D03B09" w:rsidRPr="00170C30" w:rsidRDefault="00D03B09" w:rsidP="00D03B09">
      <w:pPr>
        <w:rPr>
          <w:sz w:val="24"/>
          <w:szCs w:val="24"/>
          <w:lang w:val="en-GB"/>
        </w:rPr>
      </w:pPr>
    </w:p>
    <w:p w:rsidR="00A90BCE" w:rsidRPr="00170C30" w:rsidRDefault="00260B8B" w:rsidP="00A90BCE">
      <w:pPr>
        <w:rPr>
          <w:sz w:val="24"/>
          <w:szCs w:val="24"/>
          <w:lang w:val="en-GB"/>
        </w:rPr>
      </w:pPr>
      <w:r w:rsidRPr="00260B8B">
        <w:rPr>
          <w:sz w:val="24"/>
          <w:szCs w:val="24"/>
          <w:lang w:val="en-GB"/>
        </w:rPr>
        <w:t>Diamond and Dybvig: Bank Runs, Deposit Insurance and Liquidity. Journal of Political Economy, 1983.</w:t>
      </w:r>
    </w:p>
    <w:p w:rsidR="00C73BCE" w:rsidRPr="00170C30" w:rsidRDefault="00C73BCE" w:rsidP="00A90BCE">
      <w:pPr>
        <w:rPr>
          <w:sz w:val="24"/>
          <w:szCs w:val="24"/>
          <w:lang w:val="en-GB"/>
        </w:rPr>
      </w:pPr>
    </w:p>
    <w:p w:rsidR="00E06B78" w:rsidRPr="00170C30" w:rsidRDefault="00260B8B" w:rsidP="00A90BCE">
      <w:pPr>
        <w:rPr>
          <w:sz w:val="24"/>
          <w:szCs w:val="24"/>
          <w:lang w:val="en-GB"/>
        </w:rPr>
      </w:pPr>
      <w:r w:rsidRPr="00260B8B">
        <w:rPr>
          <w:sz w:val="24"/>
          <w:szCs w:val="24"/>
          <w:lang w:val="en-GB"/>
        </w:rPr>
        <w:t>ECB: Report on Financial Structures. Frankfurt, 2002.</w:t>
      </w:r>
    </w:p>
    <w:p w:rsidR="00E06B78" w:rsidRPr="00170C30" w:rsidRDefault="00E06B78" w:rsidP="00A90BCE">
      <w:pPr>
        <w:rPr>
          <w:sz w:val="24"/>
          <w:szCs w:val="24"/>
          <w:lang w:val="en-GB"/>
        </w:rPr>
      </w:pPr>
    </w:p>
    <w:p w:rsidR="00A90BCE" w:rsidRPr="00170C30" w:rsidRDefault="00260B8B" w:rsidP="00A90BCE">
      <w:pPr>
        <w:rPr>
          <w:sz w:val="24"/>
          <w:szCs w:val="24"/>
          <w:lang w:val="en-GB"/>
        </w:rPr>
      </w:pPr>
      <w:r w:rsidRPr="00260B8B">
        <w:rPr>
          <w:sz w:val="24"/>
          <w:szCs w:val="24"/>
          <w:lang w:val="en-GB"/>
        </w:rPr>
        <w:t xml:space="preserve">EU Commission: Green Paper on Shadow Banking. Brussels, 2012. </w:t>
      </w:r>
    </w:p>
    <w:p w:rsidR="00C73BCE" w:rsidRPr="00170C30" w:rsidRDefault="00C73BCE" w:rsidP="00A90BCE">
      <w:pPr>
        <w:rPr>
          <w:sz w:val="24"/>
          <w:szCs w:val="24"/>
          <w:lang w:val="en-GB"/>
        </w:rPr>
      </w:pPr>
    </w:p>
    <w:p w:rsidR="00A90BCE" w:rsidRPr="00170C30" w:rsidRDefault="00260B8B" w:rsidP="00A90BCE">
      <w:pPr>
        <w:rPr>
          <w:sz w:val="24"/>
          <w:szCs w:val="24"/>
          <w:lang w:val="en-GB"/>
        </w:rPr>
      </w:pPr>
      <w:r w:rsidRPr="00260B8B">
        <w:rPr>
          <w:sz w:val="24"/>
          <w:szCs w:val="24"/>
          <w:lang w:val="en-GB"/>
        </w:rPr>
        <w:t>Hanson, Kashyap and Stein: A Macroprudential Approach to Financial Regul</w:t>
      </w:r>
      <w:r w:rsidRPr="00260B8B">
        <w:rPr>
          <w:sz w:val="24"/>
          <w:szCs w:val="24"/>
          <w:lang w:val="en-GB"/>
        </w:rPr>
        <w:t>a</w:t>
      </w:r>
      <w:r w:rsidRPr="00260B8B">
        <w:rPr>
          <w:sz w:val="24"/>
          <w:szCs w:val="24"/>
          <w:lang w:val="en-GB"/>
        </w:rPr>
        <w:t>tion. Journal of Economic Perspectives, 2011</w:t>
      </w:r>
      <w:r w:rsidR="001F2616">
        <w:rPr>
          <w:sz w:val="24"/>
          <w:szCs w:val="24"/>
          <w:lang w:val="en-GB"/>
        </w:rPr>
        <w:t>.</w:t>
      </w:r>
    </w:p>
    <w:p w:rsidR="00A90BCE" w:rsidRPr="00170C30" w:rsidRDefault="00A90BCE" w:rsidP="00A90BCE">
      <w:pPr>
        <w:rPr>
          <w:sz w:val="24"/>
          <w:szCs w:val="24"/>
          <w:lang w:val="en-GB"/>
        </w:rPr>
      </w:pPr>
    </w:p>
    <w:p w:rsidR="00C73BCE" w:rsidRDefault="00260B8B" w:rsidP="00C73BCE">
      <w:pPr>
        <w:rPr>
          <w:sz w:val="24"/>
          <w:szCs w:val="24"/>
          <w:lang w:val="en-GB"/>
        </w:rPr>
      </w:pPr>
      <w:r w:rsidRPr="00260B8B">
        <w:rPr>
          <w:sz w:val="24"/>
          <w:szCs w:val="24"/>
          <w:lang w:val="en-GB"/>
        </w:rPr>
        <w:t>Independent Commission on Banking: Final Report Recommendations. London, 2011 (Vickers Commission).</w:t>
      </w:r>
    </w:p>
    <w:p w:rsidR="00D61EB4" w:rsidRDefault="00D61EB4" w:rsidP="00C73BCE">
      <w:pPr>
        <w:rPr>
          <w:sz w:val="24"/>
          <w:szCs w:val="24"/>
          <w:lang w:val="en-GB"/>
        </w:rPr>
      </w:pPr>
    </w:p>
    <w:p w:rsidR="00D61EB4" w:rsidRPr="00D61EB4" w:rsidRDefault="00D61EB4" w:rsidP="00D61EB4">
      <w:pPr>
        <w:autoSpaceDE w:val="0"/>
        <w:autoSpaceDN w:val="0"/>
        <w:adjustRightInd w:val="0"/>
        <w:spacing w:line="240" w:lineRule="auto"/>
        <w:rPr>
          <w:rFonts w:eastAsiaTheme="minorHAnsi" w:cs="Frutiger-Roman"/>
          <w:sz w:val="24"/>
          <w:szCs w:val="24"/>
          <w:lang w:val="en-US"/>
        </w:rPr>
      </w:pPr>
      <w:r w:rsidRPr="00D61EB4">
        <w:rPr>
          <w:rFonts w:eastAsiaTheme="minorHAnsi" w:cs="Frutiger-Roman"/>
          <w:sz w:val="24"/>
          <w:szCs w:val="24"/>
          <w:lang w:val="en-US"/>
        </w:rPr>
        <w:t>Isaksen, Lassenius Kramp, Funch Sørensen and Vester Sørensen: Household Balance Sheets and Debt – an International Country Study, Monetary Review, Danmarks Nationalbank, 2011 IV.2.</w:t>
      </w:r>
    </w:p>
    <w:p w:rsidR="00D61EB4" w:rsidRDefault="00D61EB4" w:rsidP="00C73BCE">
      <w:pPr>
        <w:rPr>
          <w:sz w:val="24"/>
          <w:szCs w:val="24"/>
          <w:lang w:val="en-GB"/>
        </w:rPr>
      </w:pPr>
    </w:p>
    <w:p w:rsidR="00E06B78" w:rsidRPr="00170C30" w:rsidRDefault="00260B8B" w:rsidP="00C73BCE">
      <w:pPr>
        <w:rPr>
          <w:sz w:val="24"/>
          <w:szCs w:val="24"/>
          <w:lang w:val="en-GB"/>
        </w:rPr>
      </w:pPr>
      <w:r w:rsidRPr="00260B8B">
        <w:rPr>
          <w:sz w:val="24"/>
          <w:szCs w:val="24"/>
          <w:lang w:val="en-GB"/>
        </w:rPr>
        <w:t>LaPorta, Lopez-de-Silanes, Shleifer, and Vishny: Law and Finance. Journal of Political Economy, 1998.</w:t>
      </w:r>
    </w:p>
    <w:p w:rsidR="00C73BCE" w:rsidRPr="00170C30" w:rsidRDefault="00C73BCE" w:rsidP="00C73BCE">
      <w:pPr>
        <w:rPr>
          <w:sz w:val="24"/>
          <w:szCs w:val="24"/>
          <w:lang w:val="en-GB"/>
        </w:rPr>
      </w:pPr>
    </w:p>
    <w:p w:rsidR="00C73BCE" w:rsidRPr="00170C30" w:rsidRDefault="00260B8B" w:rsidP="00C73BCE">
      <w:pPr>
        <w:rPr>
          <w:sz w:val="24"/>
          <w:szCs w:val="24"/>
          <w:lang w:val="en-GB"/>
        </w:rPr>
      </w:pPr>
      <w:r w:rsidRPr="00260B8B">
        <w:rPr>
          <w:sz w:val="24"/>
          <w:szCs w:val="24"/>
          <w:lang w:val="en-GB"/>
        </w:rPr>
        <w:t>Rochet and Vives: Coordination Failures and the Lender of Last Resort:</w:t>
      </w:r>
    </w:p>
    <w:p w:rsidR="00C73BCE" w:rsidRPr="00170C30" w:rsidRDefault="00260B8B" w:rsidP="00C73BCE">
      <w:pPr>
        <w:rPr>
          <w:sz w:val="24"/>
          <w:szCs w:val="24"/>
          <w:lang w:val="en-GB"/>
        </w:rPr>
      </w:pPr>
      <w:r w:rsidRPr="00260B8B">
        <w:rPr>
          <w:sz w:val="24"/>
          <w:szCs w:val="24"/>
          <w:lang w:val="en-GB"/>
        </w:rPr>
        <w:t>Was Bagehot Right After All? Journal of the European Economic Association, 2004.</w:t>
      </w:r>
    </w:p>
    <w:p w:rsidR="00C73BCE" w:rsidRPr="00170C30" w:rsidRDefault="00C73BCE" w:rsidP="00A90BCE">
      <w:pPr>
        <w:rPr>
          <w:sz w:val="24"/>
          <w:szCs w:val="24"/>
          <w:lang w:val="en-GB"/>
        </w:rPr>
      </w:pPr>
    </w:p>
    <w:p w:rsidR="006223D1" w:rsidRPr="00170C30" w:rsidRDefault="00260B8B" w:rsidP="00A90BCE">
      <w:pPr>
        <w:rPr>
          <w:sz w:val="24"/>
          <w:szCs w:val="24"/>
          <w:lang w:val="en-GB"/>
        </w:rPr>
      </w:pPr>
      <w:r w:rsidRPr="00260B8B">
        <w:rPr>
          <w:sz w:val="24"/>
          <w:szCs w:val="24"/>
          <w:lang w:val="en-GB"/>
        </w:rPr>
        <w:t>Shleifer and Vishny: Fire Sales in Finance and Macroeconomics, Journal of Ec</w:t>
      </w:r>
      <w:r w:rsidRPr="00260B8B">
        <w:rPr>
          <w:sz w:val="24"/>
          <w:szCs w:val="24"/>
          <w:lang w:val="en-GB"/>
        </w:rPr>
        <w:t>o</w:t>
      </w:r>
      <w:r w:rsidRPr="00260B8B">
        <w:rPr>
          <w:sz w:val="24"/>
          <w:szCs w:val="24"/>
          <w:lang w:val="en-GB"/>
        </w:rPr>
        <w:t>nomic Perspectives, 2011</w:t>
      </w:r>
      <w:r w:rsidR="001F2616">
        <w:rPr>
          <w:sz w:val="24"/>
          <w:szCs w:val="24"/>
          <w:lang w:val="en-GB"/>
        </w:rPr>
        <w:t>.</w:t>
      </w:r>
    </w:p>
    <w:p w:rsidR="00C73BCE" w:rsidRPr="00170C30" w:rsidRDefault="00C73BCE" w:rsidP="00A90BCE">
      <w:pPr>
        <w:rPr>
          <w:sz w:val="24"/>
          <w:szCs w:val="24"/>
          <w:lang w:val="en-GB"/>
        </w:rPr>
      </w:pPr>
    </w:p>
    <w:sectPr w:rsidR="00C73BCE" w:rsidRPr="00170C30" w:rsidSect="007129BB">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ADD" w:rsidRDefault="002E7ADD" w:rsidP="00AB087B">
      <w:pPr>
        <w:spacing w:line="240" w:lineRule="auto"/>
      </w:pPr>
      <w:r>
        <w:separator/>
      </w:r>
    </w:p>
  </w:endnote>
  <w:endnote w:type="continuationSeparator" w:id="0">
    <w:p w:rsidR="002E7ADD" w:rsidRDefault="002E7ADD" w:rsidP="00AB08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Frutiger-Roman">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ADD" w:rsidRDefault="002E7ADD" w:rsidP="00AB087B">
      <w:pPr>
        <w:spacing w:line="240" w:lineRule="auto"/>
      </w:pPr>
      <w:r>
        <w:separator/>
      </w:r>
    </w:p>
  </w:footnote>
  <w:footnote w:type="continuationSeparator" w:id="0">
    <w:p w:rsidR="002E7ADD" w:rsidRDefault="002E7ADD" w:rsidP="00AB087B">
      <w:pPr>
        <w:spacing w:line="240" w:lineRule="auto"/>
      </w:pPr>
      <w:r>
        <w:continuationSeparator/>
      </w:r>
    </w:p>
  </w:footnote>
  <w:footnote w:id="1">
    <w:p w:rsidR="000F4B04" w:rsidRPr="00B21842" w:rsidRDefault="000F4B04">
      <w:pPr>
        <w:pStyle w:val="FootnoteText"/>
        <w:rPr>
          <w:lang w:val="en-US"/>
        </w:rPr>
      </w:pPr>
      <w:r>
        <w:rPr>
          <w:rStyle w:val="FootnoteReference"/>
        </w:rPr>
        <w:footnoteRef/>
      </w:r>
      <w:r w:rsidRPr="00B21842">
        <w:rPr>
          <w:lang w:val="en-US"/>
        </w:rPr>
        <w:t xml:space="preserve"> It is sometimes mentioned that the Danish version of </w:t>
      </w:r>
      <w:r>
        <w:rPr>
          <w:lang w:val="en-US"/>
        </w:rPr>
        <w:t>adjustable-rate mortgages (</w:t>
      </w:r>
      <w:r w:rsidRPr="00B21842">
        <w:rPr>
          <w:lang w:val="en-US"/>
        </w:rPr>
        <w:t>ARM</w:t>
      </w:r>
      <w:r>
        <w:rPr>
          <w:lang w:val="en-US"/>
        </w:rPr>
        <w:t>s)</w:t>
      </w:r>
      <w:r w:rsidRPr="00B21842">
        <w:rPr>
          <w:lang w:val="en-US"/>
        </w:rPr>
        <w:t xml:space="preserve"> cr</w:t>
      </w:r>
      <w:r w:rsidRPr="00B21842">
        <w:rPr>
          <w:lang w:val="en-US"/>
        </w:rPr>
        <w:t>e</w:t>
      </w:r>
      <w:r w:rsidRPr="00B21842">
        <w:rPr>
          <w:lang w:val="en-US"/>
        </w:rPr>
        <w:t>ates a liquidity</w:t>
      </w:r>
      <w:r>
        <w:rPr>
          <w:lang w:val="en-US"/>
        </w:rPr>
        <w:t xml:space="preserve"> </w:t>
      </w:r>
      <w:r w:rsidRPr="00B21842">
        <w:rPr>
          <w:lang w:val="en-US"/>
        </w:rPr>
        <w:t>risk.</w:t>
      </w:r>
      <w:r>
        <w:rPr>
          <w:lang w:val="en-US"/>
        </w:rPr>
        <w:t xml:space="preserve"> Traditionally, Danish mortgage loans were 20 or 30-year fixed-rate mor</w:t>
      </w:r>
      <w:r>
        <w:rPr>
          <w:lang w:val="en-US"/>
        </w:rPr>
        <w:t>t</w:t>
      </w:r>
      <w:r>
        <w:rPr>
          <w:lang w:val="en-US"/>
        </w:rPr>
        <w:t xml:space="preserve">gages with a prepayment option should interest rates fall. The bonds issued to finance the mortgages matched the loans in terms of maturity, interest rate and prepayment option. In the 1990s ARMs were introduced where interest rates were reset from once a year to once every ten years. The ARM loans </w:t>
      </w:r>
      <w:r w:rsidR="00695FD3">
        <w:rPr>
          <w:lang w:val="en-US"/>
        </w:rPr>
        <w:t>a</w:t>
      </w:r>
      <w:r>
        <w:rPr>
          <w:lang w:val="en-US"/>
        </w:rPr>
        <w:t>re financed by auctioning mortgage bonds compatible with the interest rate reset. Thus, the mortgage banks are exposed to a liquidity risk should they be unable to sell the bonds. However, that risk is much more limited than in systems where the interest rate reset on mortgages is not aligned with the refinancing. In the Danish system, mortgage banks are obliged to pass on the rate set at the auctions to the borrower</w:t>
      </w:r>
      <w:r w:rsidR="004F7FCC">
        <w:rPr>
          <w:lang w:val="en-US"/>
        </w:rPr>
        <w:t>s</w:t>
      </w:r>
      <w:r>
        <w:rPr>
          <w:lang w:val="en-US"/>
        </w:rPr>
        <w:t>. Ther</w:t>
      </w:r>
      <w:r>
        <w:rPr>
          <w:lang w:val="en-US"/>
        </w:rPr>
        <w:t>e</w:t>
      </w:r>
      <w:r>
        <w:rPr>
          <w:lang w:val="en-US"/>
        </w:rPr>
        <w:t xml:space="preserve">fore, they are never left with an interest rate risk that in turn can create a liquidity risk, </w:t>
      </w:r>
      <w:r w:rsidR="00695FD3">
        <w:rPr>
          <w:lang w:val="en-US"/>
        </w:rPr>
        <w:t>if</w:t>
      </w:r>
      <w:r>
        <w:rPr>
          <w:lang w:val="en-US"/>
        </w:rPr>
        <w:t xml:space="preserve"> bu</w:t>
      </w:r>
      <w:r>
        <w:rPr>
          <w:lang w:val="en-US"/>
        </w:rPr>
        <w:t>y</w:t>
      </w:r>
      <w:r>
        <w:rPr>
          <w:lang w:val="en-US"/>
        </w:rPr>
        <w:t xml:space="preserve">ers of the bonds </w:t>
      </w:r>
      <w:r w:rsidR="00695FD3">
        <w:rPr>
          <w:lang w:val="en-US"/>
        </w:rPr>
        <w:t>are</w:t>
      </w:r>
      <w:r>
        <w:rPr>
          <w:lang w:val="en-US"/>
        </w:rPr>
        <w:t xml:space="preserve"> reluctant to acquire bonds issued by institutions that are potentially at risk in the event of increases in interest rates. </w:t>
      </w:r>
    </w:p>
  </w:footnote>
  <w:footnote w:id="2">
    <w:p w:rsidR="00D61EB4" w:rsidRPr="00D61EB4" w:rsidRDefault="00D61EB4">
      <w:pPr>
        <w:pStyle w:val="FootnoteText"/>
        <w:rPr>
          <w:lang w:val="en-US"/>
        </w:rPr>
      </w:pPr>
      <w:r>
        <w:rPr>
          <w:rStyle w:val="FootnoteReference"/>
        </w:rPr>
        <w:footnoteRef/>
      </w:r>
      <w:r w:rsidRPr="00D61EB4">
        <w:rPr>
          <w:lang w:val="en-US"/>
        </w:rPr>
        <w:t xml:space="preserve"> The growth in balancesheets since the mid to late 1970s partly reflect that tax incenti</w:t>
      </w:r>
      <w:r>
        <w:rPr>
          <w:lang w:val="en-US"/>
        </w:rPr>
        <w:t>ves to build up gross balances, cf. Isaksen et al.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B8B1BA"/>
    <w:lvl w:ilvl="0">
      <w:start w:val="1"/>
      <w:numFmt w:val="decimal"/>
      <w:lvlText w:val="%1."/>
      <w:lvlJc w:val="left"/>
      <w:pPr>
        <w:tabs>
          <w:tab w:val="num" w:pos="1492"/>
        </w:tabs>
        <w:ind w:left="1492" w:hanging="360"/>
      </w:pPr>
    </w:lvl>
  </w:abstractNum>
  <w:abstractNum w:abstractNumId="1">
    <w:nsid w:val="FFFFFF7D"/>
    <w:multiLevelType w:val="singleLevel"/>
    <w:tmpl w:val="AB824980"/>
    <w:lvl w:ilvl="0">
      <w:start w:val="1"/>
      <w:numFmt w:val="decimal"/>
      <w:lvlText w:val="%1."/>
      <w:lvlJc w:val="left"/>
      <w:pPr>
        <w:tabs>
          <w:tab w:val="num" w:pos="1209"/>
        </w:tabs>
        <w:ind w:left="1209" w:hanging="360"/>
      </w:pPr>
    </w:lvl>
  </w:abstractNum>
  <w:abstractNum w:abstractNumId="2">
    <w:nsid w:val="FFFFFF7E"/>
    <w:multiLevelType w:val="singleLevel"/>
    <w:tmpl w:val="1D06BF0C"/>
    <w:lvl w:ilvl="0">
      <w:start w:val="1"/>
      <w:numFmt w:val="decimal"/>
      <w:lvlText w:val="%1."/>
      <w:lvlJc w:val="left"/>
      <w:pPr>
        <w:tabs>
          <w:tab w:val="num" w:pos="926"/>
        </w:tabs>
        <w:ind w:left="926" w:hanging="360"/>
      </w:pPr>
    </w:lvl>
  </w:abstractNum>
  <w:abstractNum w:abstractNumId="3">
    <w:nsid w:val="FFFFFF7F"/>
    <w:multiLevelType w:val="singleLevel"/>
    <w:tmpl w:val="5562E5F2"/>
    <w:lvl w:ilvl="0">
      <w:start w:val="1"/>
      <w:numFmt w:val="decimal"/>
      <w:lvlText w:val="%1."/>
      <w:lvlJc w:val="left"/>
      <w:pPr>
        <w:tabs>
          <w:tab w:val="num" w:pos="643"/>
        </w:tabs>
        <w:ind w:left="643" w:hanging="360"/>
      </w:pPr>
    </w:lvl>
  </w:abstractNum>
  <w:abstractNum w:abstractNumId="4">
    <w:nsid w:val="FFFFFF80"/>
    <w:multiLevelType w:val="singleLevel"/>
    <w:tmpl w:val="C0CA967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2FC96E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640C16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138601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6E9360"/>
    <w:lvl w:ilvl="0">
      <w:start w:val="1"/>
      <w:numFmt w:val="decimal"/>
      <w:lvlText w:val="%1."/>
      <w:lvlJc w:val="left"/>
      <w:pPr>
        <w:tabs>
          <w:tab w:val="num" w:pos="360"/>
        </w:tabs>
        <w:ind w:left="360" w:hanging="360"/>
      </w:pPr>
    </w:lvl>
  </w:abstractNum>
  <w:abstractNum w:abstractNumId="9">
    <w:nsid w:val="FFFFFF89"/>
    <w:multiLevelType w:val="singleLevel"/>
    <w:tmpl w:val="78968AB4"/>
    <w:lvl w:ilvl="0">
      <w:start w:val="1"/>
      <w:numFmt w:val="bullet"/>
      <w:lvlText w:val=""/>
      <w:lvlJc w:val="left"/>
      <w:pPr>
        <w:tabs>
          <w:tab w:val="num" w:pos="360"/>
        </w:tabs>
        <w:ind w:left="360" w:hanging="360"/>
      </w:pPr>
      <w:rPr>
        <w:rFonts w:ascii="Symbol" w:hAnsi="Symbol" w:hint="default"/>
      </w:rPr>
    </w:lvl>
  </w:abstractNum>
  <w:abstractNum w:abstractNumId="10">
    <w:nsid w:val="0E2376C4"/>
    <w:multiLevelType w:val="hybridMultilevel"/>
    <w:tmpl w:val="98965180"/>
    <w:lvl w:ilvl="0" w:tplc="2B16386A">
      <w:start w:val="1"/>
      <w:numFmt w:val="lowerLetter"/>
      <w:pStyle w:val="Alfabetliste"/>
      <w:lvlText w:val="%1."/>
      <w:lvlJc w:val="left"/>
      <w:pPr>
        <w:ind w:left="587"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11564928"/>
    <w:multiLevelType w:val="hybridMultilevel"/>
    <w:tmpl w:val="D188FD64"/>
    <w:lvl w:ilvl="0" w:tplc="1BFE4228">
      <w:start w:val="1"/>
      <w:numFmt w:val="bullet"/>
      <w:pStyle w:val="Bullet1"/>
      <w:lvlText w:val=""/>
      <w:lvlJc w:val="left"/>
      <w:pPr>
        <w:ind w:left="36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3D1053FC"/>
    <w:multiLevelType w:val="hybridMultilevel"/>
    <w:tmpl w:val="704484A2"/>
    <w:lvl w:ilvl="0" w:tplc="3B664362">
      <w:start w:val="1"/>
      <w:numFmt w:val="bullet"/>
      <w:pStyle w:val="Bullet2"/>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7763503B"/>
    <w:multiLevelType w:val="hybridMultilevel"/>
    <w:tmpl w:val="DF742360"/>
    <w:lvl w:ilvl="0" w:tplc="A536AA6E">
      <w:start w:val="1"/>
      <w:numFmt w:val="lowerLetter"/>
      <w:lvlText w:val="%1."/>
      <w:lvlJc w:val="left"/>
      <w:pPr>
        <w:ind w:left="587"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3"/>
  </w:num>
  <w:num w:numId="2">
    <w:abstractNumId w:val="10"/>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1"/>
  </w:num>
  <w:num w:numId="16">
    <w:abstractNumId w:val="11"/>
  </w:num>
  <w:num w:numId="17">
    <w:abstractNumId w:val="10"/>
  </w:num>
  <w:num w:numId="18">
    <w:abstractNumId w:val="1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3"/>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4F3A5F"/>
    <w:rsid w:val="00000424"/>
    <w:rsid w:val="000061D9"/>
    <w:rsid w:val="000074AD"/>
    <w:rsid w:val="000100FB"/>
    <w:rsid w:val="00010297"/>
    <w:rsid w:val="000104BE"/>
    <w:rsid w:val="00010998"/>
    <w:rsid w:val="00010C90"/>
    <w:rsid w:val="000115AB"/>
    <w:rsid w:val="00020D38"/>
    <w:rsid w:val="000222E3"/>
    <w:rsid w:val="000230B4"/>
    <w:rsid w:val="00024CA8"/>
    <w:rsid w:val="00026BD6"/>
    <w:rsid w:val="000278BE"/>
    <w:rsid w:val="000307CE"/>
    <w:rsid w:val="0003128A"/>
    <w:rsid w:val="0003235E"/>
    <w:rsid w:val="00032483"/>
    <w:rsid w:val="0003266F"/>
    <w:rsid w:val="00033CAC"/>
    <w:rsid w:val="00033DB1"/>
    <w:rsid w:val="00034086"/>
    <w:rsid w:val="000346D6"/>
    <w:rsid w:val="000370B8"/>
    <w:rsid w:val="00037507"/>
    <w:rsid w:val="0004052C"/>
    <w:rsid w:val="00044493"/>
    <w:rsid w:val="00047115"/>
    <w:rsid w:val="000513E4"/>
    <w:rsid w:val="00052D38"/>
    <w:rsid w:val="0005343E"/>
    <w:rsid w:val="0005625B"/>
    <w:rsid w:val="00057001"/>
    <w:rsid w:val="000578D5"/>
    <w:rsid w:val="000600DE"/>
    <w:rsid w:val="00063BD9"/>
    <w:rsid w:val="00063DDB"/>
    <w:rsid w:val="00065A1F"/>
    <w:rsid w:val="00066D0D"/>
    <w:rsid w:val="000672F6"/>
    <w:rsid w:val="0006760D"/>
    <w:rsid w:val="00070103"/>
    <w:rsid w:val="0007021D"/>
    <w:rsid w:val="00070793"/>
    <w:rsid w:val="00071843"/>
    <w:rsid w:val="000718B6"/>
    <w:rsid w:val="00071C87"/>
    <w:rsid w:val="000724F5"/>
    <w:rsid w:val="00072EC0"/>
    <w:rsid w:val="0007388A"/>
    <w:rsid w:val="00074D89"/>
    <w:rsid w:val="000756ED"/>
    <w:rsid w:val="000759BD"/>
    <w:rsid w:val="00077B9E"/>
    <w:rsid w:val="000804B1"/>
    <w:rsid w:val="00080554"/>
    <w:rsid w:val="00082D93"/>
    <w:rsid w:val="00087611"/>
    <w:rsid w:val="00091B1B"/>
    <w:rsid w:val="00091FC1"/>
    <w:rsid w:val="000969AF"/>
    <w:rsid w:val="00097C75"/>
    <w:rsid w:val="000A0B52"/>
    <w:rsid w:val="000A0B62"/>
    <w:rsid w:val="000A0C54"/>
    <w:rsid w:val="000A2F8B"/>
    <w:rsid w:val="000A52A1"/>
    <w:rsid w:val="000A61AA"/>
    <w:rsid w:val="000A7AF3"/>
    <w:rsid w:val="000B003D"/>
    <w:rsid w:val="000B0D27"/>
    <w:rsid w:val="000B2898"/>
    <w:rsid w:val="000B2CBB"/>
    <w:rsid w:val="000B3999"/>
    <w:rsid w:val="000B5770"/>
    <w:rsid w:val="000B61F6"/>
    <w:rsid w:val="000B7297"/>
    <w:rsid w:val="000B7411"/>
    <w:rsid w:val="000C0C11"/>
    <w:rsid w:val="000C1C48"/>
    <w:rsid w:val="000C2228"/>
    <w:rsid w:val="000C2A96"/>
    <w:rsid w:val="000C345E"/>
    <w:rsid w:val="000C6253"/>
    <w:rsid w:val="000D0DA4"/>
    <w:rsid w:val="000D15C8"/>
    <w:rsid w:val="000D1821"/>
    <w:rsid w:val="000D2667"/>
    <w:rsid w:val="000D27F2"/>
    <w:rsid w:val="000D37D4"/>
    <w:rsid w:val="000D4194"/>
    <w:rsid w:val="000D58B5"/>
    <w:rsid w:val="000D5E2E"/>
    <w:rsid w:val="000D7636"/>
    <w:rsid w:val="000D7CD9"/>
    <w:rsid w:val="000E22BF"/>
    <w:rsid w:val="000E3D08"/>
    <w:rsid w:val="000E5134"/>
    <w:rsid w:val="000E690E"/>
    <w:rsid w:val="000F0065"/>
    <w:rsid w:val="000F257C"/>
    <w:rsid w:val="000F4686"/>
    <w:rsid w:val="000F4B04"/>
    <w:rsid w:val="000F570E"/>
    <w:rsid w:val="000F6108"/>
    <w:rsid w:val="000F6E95"/>
    <w:rsid w:val="000F7E23"/>
    <w:rsid w:val="00100AA9"/>
    <w:rsid w:val="00100CE9"/>
    <w:rsid w:val="001030EF"/>
    <w:rsid w:val="00103C9E"/>
    <w:rsid w:val="00103E27"/>
    <w:rsid w:val="0010420A"/>
    <w:rsid w:val="00104EB6"/>
    <w:rsid w:val="0010546C"/>
    <w:rsid w:val="00105620"/>
    <w:rsid w:val="00105A2A"/>
    <w:rsid w:val="001061D1"/>
    <w:rsid w:val="0010687F"/>
    <w:rsid w:val="00106A80"/>
    <w:rsid w:val="00107B69"/>
    <w:rsid w:val="00110A04"/>
    <w:rsid w:val="00111107"/>
    <w:rsid w:val="001128B9"/>
    <w:rsid w:val="00114AB6"/>
    <w:rsid w:val="00115A2A"/>
    <w:rsid w:val="00116435"/>
    <w:rsid w:val="001165BC"/>
    <w:rsid w:val="0011680C"/>
    <w:rsid w:val="00117448"/>
    <w:rsid w:val="00117FA5"/>
    <w:rsid w:val="00120B8A"/>
    <w:rsid w:val="001211C7"/>
    <w:rsid w:val="00121C13"/>
    <w:rsid w:val="001254E8"/>
    <w:rsid w:val="001273B7"/>
    <w:rsid w:val="00127833"/>
    <w:rsid w:val="00130720"/>
    <w:rsid w:val="00132DC9"/>
    <w:rsid w:val="00133158"/>
    <w:rsid w:val="001335B2"/>
    <w:rsid w:val="00136DAA"/>
    <w:rsid w:val="00137E66"/>
    <w:rsid w:val="00142170"/>
    <w:rsid w:val="0014225F"/>
    <w:rsid w:val="00142F32"/>
    <w:rsid w:val="0014455A"/>
    <w:rsid w:val="0014473F"/>
    <w:rsid w:val="00144D26"/>
    <w:rsid w:val="00145CF8"/>
    <w:rsid w:val="0014605E"/>
    <w:rsid w:val="0014792C"/>
    <w:rsid w:val="00151232"/>
    <w:rsid w:val="00152068"/>
    <w:rsid w:val="00153B48"/>
    <w:rsid w:val="001547DC"/>
    <w:rsid w:val="00155905"/>
    <w:rsid w:val="00156088"/>
    <w:rsid w:val="00160DAB"/>
    <w:rsid w:val="00162100"/>
    <w:rsid w:val="0016345B"/>
    <w:rsid w:val="00164581"/>
    <w:rsid w:val="00164599"/>
    <w:rsid w:val="001645BD"/>
    <w:rsid w:val="001653F5"/>
    <w:rsid w:val="00165958"/>
    <w:rsid w:val="00165ECC"/>
    <w:rsid w:val="0016644F"/>
    <w:rsid w:val="0016661A"/>
    <w:rsid w:val="00167666"/>
    <w:rsid w:val="00167DE2"/>
    <w:rsid w:val="00170C30"/>
    <w:rsid w:val="001716E3"/>
    <w:rsid w:val="001718FC"/>
    <w:rsid w:val="00172633"/>
    <w:rsid w:val="00172EB2"/>
    <w:rsid w:val="00175533"/>
    <w:rsid w:val="001755EC"/>
    <w:rsid w:val="001761B1"/>
    <w:rsid w:val="00176263"/>
    <w:rsid w:val="001768F8"/>
    <w:rsid w:val="00176FA8"/>
    <w:rsid w:val="00177015"/>
    <w:rsid w:val="0017741B"/>
    <w:rsid w:val="00180A1E"/>
    <w:rsid w:val="00180E1B"/>
    <w:rsid w:val="00184F96"/>
    <w:rsid w:val="00185086"/>
    <w:rsid w:val="00186E4B"/>
    <w:rsid w:val="0019026D"/>
    <w:rsid w:val="00191D14"/>
    <w:rsid w:val="00191EC2"/>
    <w:rsid w:val="00191F7A"/>
    <w:rsid w:val="00193117"/>
    <w:rsid w:val="00193A69"/>
    <w:rsid w:val="001940ED"/>
    <w:rsid w:val="00196015"/>
    <w:rsid w:val="00196DE3"/>
    <w:rsid w:val="001A1A55"/>
    <w:rsid w:val="001A1FD4"/>
    <w:rsid w:val="001A23B0"/>
    <w:rsid w:val="001A46F8"/>
    <w:rsid w:val="001A4990"/>
    <w:rsid w:val="001A5172"/>
    <w:rsid w:val="001A750E"/>
    <w:rsid w:val="001B0B4A"/>
    <w:rsid w:val="001B3221"/>
    <w:rsid w:val="001B473D"/>
    <w:rsid w:val="001B48F8"/>
    <w:rsid w:val="001C27A8"/>
    <w:rsid w:val="001C2B2E"/>
    <w:rsid w:val="001C3610"/>
    <w:rsid w:val="001C4268"/>
    <w:rsid w:val="001C5D4D"/>
    <w:rsid w:val="001C734F"/>
    <w:rsid w:val="001C7625"/>
    <w:rsid w:val="001C7F7A"/>
    <w:rsid w:val="001D03C1"/>
    <w:rsid w:val="001D0A0C"/>
    <w:rsid w:val="001D512A"/>
    <w:rsid w:val="001D62AB"/>
    <w:rsid w:val="001D7BA1"/>
    <w:rsid w:val="001E016B"/>
    <w:rsid w:val="001E12C7"/>
    <w:rsid w:val="001E41F2"/>
    <w:rsid w:val="001F139D"/>
    <w:rsid w:val="001F2616"/>
    <w:rsid w:val="001F4340"/>
    <w:rsid w:val="001F5122"/>
    <w:rsid w:val="001F711E"/>
    <w:rsid w:val="002005A8"/>
    <w:rsid w:val="002026DA"/>
    <w:rsid w:val="00202D93"/>
    <w:rsid w:val="00202FFA"/>
    <w:rsid w:val="00203998"/>
    <w:rsid w:val="00204DBE"/>
    <w:rsid w:val="00206DEF"/>
    <w:rsid w:val="00206F13"/>
    <w:rsid w:val="00207F44"/>
    <w:rsid w:val="00215B03"/>
    <w:rsid w:val="00217691"/>
    <w:rsid w:val="00222071"/>
    <w:rsid w:val="002224D8"/>
    <w:rsid w:val="002312A5"/>
    <w:rsid w:val="002341A9"/>
    <w:rsid w:val="00234C6B"/>
    <w:rsid w:val="0023754B"/>
    <w:rsid w:val="00237FFC"/>
    <w:rsid w:val="00241853"/>
    <w:rsid w:val="00243A08"/>
    <w:rsid w:val="00243B81"/>
    <w:rsid w:val="002443C8"/>
    <w:rsid w:val="00244E0F"/>
    <w:rsid w:val="00244E89"/>
    <w:rsid w:val="00247D4B"/>
    <w:rsid w:val="002500F9"/>
    <w:rsid w:val="00251797"/>
    <w:rsid w:val="00252224"/>
    <w:rsid w:val="00252954"/>
    <w:rsid w:val="002530BB"/>
    <w:rsid w:val="00254013"/>
    <w:rsid w:val="00254D38"/>
    <w:rsid w:val="002562B1"/>
    <w:rsid w:val="00256666"/>
    <w:rsid w:val="00256D0D"/>
    <w:rsid w:val="00257014"/>
    <w:rsid w:val="00260981"/>
    <w:rsid w:val="00260AB9"/>
    <w:rsid w:val="00260B8B"/>
    <w:rsid w:val="00262482"/>
    <w:rsid w:val="002641E0"/>
    <w:rsid w:val="0026688F"/>
    <w:rsid w:val="00270F33"/>
    <w:rsid w:val="002716E5"/>
    <w:rsid w:val="002728BC"/>
    <w:rsid w:val="00272BE6"/>
    <w:rsid w:val="00276552"/>
    <w:rsid w:val="002778F5"/>
    <w:rsid w:val="00277BC6"/>
    <w:rsid w:val="00277F23"/>
    <w:rsid w:val="00280451"/>
    <w:rsid w:val="002806D4"/>
    <w:rsid w:val="00280DB8"/>
    <w:rsid w:val="00281795"/>
    <w:rsid w:val="00281FB0"/>
    <w:rsid w:val="00284D29"/>
    <w:rsid w:val="002862B0"/>
    <w:rsid w:val="002864FA"/>
    <w:rsid w:val="0028725B"/>
    <w:rsid w:val="0028739A"/>
    <w:rsid w:val="00287F40"/>
    <w:rsid w:val="002906FC"/>
    <w:rsid w:val="0029638E"/>
    <w:rsid w:val="00296FFE"/>
    <w:rsid w:val="00297CDE"/>
    <w:rsid w:val="002A193D"/>
    <w:rsid w:val="002A25A8"/>
    <w:rsid w:val="002A4088"/>
    <w:rsid w:val="002A5187"/>
    <w:rsid w:val="002A54E7"/>
    <w:rsid w:val="002A642E"/>
    <w:rsid w:val="002B06EE"/>
    <w:rsid w:val="002B4C38"/>
    <w:rsid w:val="002B6EB5"/>
    <w:rsid w:val="002B7E4E"/>
    <w:rsid w:val="002C117E"/>
    <w:rsid w:val="002C50FE"/>
    <w:rsid w:val="002C5F60"/>
    <w:rsid w:val="002C6612"/>
    <w:rsid w:val="002C6CFF"/>
    <w:rsid w:val="002C6FB3"/>
    <w:rsid w:val="002D1CF7"/>
    <w:rsid w:val="002D2247"/>
    <w:rsid w:val="002D2C72"/>
    <w:rsid w:val="002D4B51"/>
    <w:rsid w:val="002D5001"/>
    <w:rsid w:val="002D57F9"/>
    <w:rsid w:val="002D7846"/>
    <w:rsid w:val="002D7B2D"/>
    <w:rsid w:val="002E0230"/>
    <w:rsid w:val="002E09D1"/>
    <w:rsid w:val="002E0C07"/>
    <w:rsid w:val="002E5B8C"/>
    <w:rsid w:val="002E5F90"/>
    <w:rsid w:val="002E67FC"/>
    <w:rsid w:val="002E682E"/>
    <w:rsid w:val="002E7ADD"/>
    <w:rsid w:val="002F10D8"/>
    <w:rsid w:val="002F17B6"/>
    <w:rsid w:val="002F53B2"/>
    <w:rsid w:val="002F6B41"/>
    <w:rsid w:val="002F7A31"/>
    <w:rsid w:val="003021F9"/>
    <w:rsid w:val="003056FF"/>
    <w:rsid w:val="00305962"/>
    <w:rsid w:val="00306556"/>
    <w:rsid w:val="003115D0"/>
    <w:rsid w:val="00312E2D"/>
    <w:rsid w:val="003130FA"/>
    <w:rsid w:val="00314361"/>
    <w:rsid w:val="003145F1"/>
    <w:rsid w:val="00316D7C"/>
    <w:rsid w:val="00320087"/>
    <w:rsid w:val="00320809"/>
    <w:rsid w:val="0032271B"/>
    <w:rsid w:val="00322E12"/>
    <w:rsid w:val="003231F9"/>
    <w:rsid w:val="003238AF"/>
    <w:rsid w:val="00325A68"/>
    <w:rsid w:val="00325EFA"/>
    <w:rsid w:val="0032632C"/>
    <w:rsid w:val="00331942"/>
    <w:rsid w:val="003325DA"/>
    <w:rsid w:val="0033292A"/>
    <w:rsid w:val="00332D41"/>
    <w:rsid w:val="00334D90"/>
    <w:rsid w:val="00337AEE"/>
    <w:rsid w:val="00340539"/>
    <w:rsid w:val="0034142B"/>
    <w:rsid w:val="003430DC"/>
    <w:rsid w:val="00343294"/>
    <w:rsid w:val="003435F2"/>
    <w:rsid w:val="003443A7"/>
    <w:rsid w:val="0034458F"/>
    <w:rsid w:val="003458DB"/>
    <w:rsid w:val="00345F42"/>
    <w:rsid w:val="0034684D"/>
    <w:rsid w:val="003506D7"/>
    <w:rsid w:val="0035275F"/>
    <w:rsid w:val="00354C5A"/>
    <w:rsid w:val="00355A30"/>
    <w:rsid w:val="0035624E"/>
    <w:rsid w:val="003567AD"/>
    <w:rsid w:val="0035687B"/>
    <w:rsid w:val="00357819"/>
    <w:rsid w:val="00360053"/>
    <w:rsid w:val="00361CE0"/>
    <w:rsid w:val="003632B9"/>
    <w:rsid w:val="00363D95"/>
    <w:rsid w:val="00364B31"/>
    <w:rsid w:val="0036532E"/>
    <w:rsid w:val="00365D0D"/>
    <w:rsid w:val="00366823"/>
    <w:rsid w:val="0036697D"/>
    <w:rsid w:val="00370813"/>
    <w:rsid w:val="0037280A"/>
    <w:rsid w:val="00372CBC"/>
    <w:rsid w:val="00372FAF"/>
    <w:rsid w:val="0037393D"/>
    <w:rsid w:val="003747A9"/>
    <w:rsid w:val="00376501"/>
    <w:rsid w:val="003779DB"/>
    <w:rsid w:val="00377DAD"/>
    <w:rsid w:val="0038037F"/>
    <w:rsid w:val="00381D04"/>
    <w:rsid w:val="00382333"/>
    <w:rsid w:val="003830D6"/>
    <w:rsid w:val="0038475F"/>
    <w:rsid w:val="003849C5"/>
    <w:rsid w:val="0038679B"/>
    <w:rsid w:val="00387AF8"/>
    <w:rsid w:val="00387FA8"/>
    <w:rsid w:val="003911C0"/>
    <w:rsid w:val="003913B9"/>
    <w:rsid w:val="00391D35"/>
    <w:rsid w:val="00392AE2"/>
    <w:rsid w:val="0039356B"/>
    <w:rsid w:val="00393D51"/>
    <w:rsid w:val="0039589A"/>
    <w:rsid w:val="00395AAB"/>
    <w:rsid w:val="00397182"/>
    <w:rsid w:val="003A1406"/>
    <w:rsid w:val="003A22AD"/>
    <w:rsid w:val="003A3205"/>
    <w:rsid w:val="003A4228"/>
    <w:rsid w:val="003A5B5B"/>
    <w:rsid w:val="003A5BEE"/>
    <w:rsid w:val="003A6B60"/>
    <w:rsid w:val="003A7167"/>
    <w:rsid w:val="003B1F1F"/>
    <w:rsid w:val="003B581A"/>
    <w:rsid w:val="003B5CCB"/>
    <w:rsid w:val="003B68E6"/>
    <w:rsid w:val="003B6CD3"/>
    <w:rsid w:val="003B6DD3"/>
    <w:rsid w:val="003B6EE1"/>
    <w:rsid w:val="003B7178"/>
    <w:rsid w:val="003B7F5A"/>
    <w:rsid w:val="003C1CD5"/>
    <w:rsid w:val="003C67D7"/>
    <w:rsid w:val="003C6AD3"/>
    <w:rsid w:val="003D0DC0"/>
    <w:rsid w:val="003D2447"/>
    <w:rsid w:val="003D29CB"/>
    <w:rsid w:val="003D33A9"/>
    <w:rsid w:val="003D3521"/>
    <w:rsid w:val="003E0B73"/>
    <w:rsid w:val="003E35F5"/>
    <w:rsid w:val="003E51D6"/>
    <w:rsid w:val="003E5F8D"/>
    <w:rsid w:val="003E6691"/>
    <w:rsid w:val="003E7759"/>
    <w:rsid w:val="003E7DE7"/>
    <w:rsid w:val="003E7E96"/>
    <w:rsid w:val="003F0636"/>
    <w:rsid w:val="003F1947"/>
    <w:rsid w:val="003F2E8C"/>
    <w:rsid w:val="003F7B2B"/>
    <w:rsid w:val="003F7F19"/>
    <w:rsid w:val="004009B7"/>
    <w:rsid w:val="00400DFF"/>
    <w:rsid w:val="00401C7A"/>
    <w:rsid w:val="00407E38"/>
    <w:rsid w:val="0041042B"/>
    <w:rsid w:val="00413DBB"/>
    <w:rsid w:val="00414C7D"/>
    <w:rsid w:val="0041573A"/>
    <w:rsid w:val="00416370"/>
    <w:rsid w:val="004165EC"/>
    <w:rsid w:val="00416622"/>
    <w:rsid w:val="00416650"/>
    <w:rsid w:val="00416B3A"/>
    <w:rsid w:val="00416F46"/>
    <w:rsid w:val="00420B70"/>
    <w:rsid w:val="00420C5C"/>
    <w:rsid w:val="004213EA"/>
    <w:rsid w:val="00425854"/>
    <w:rsid w:val="00425B07"/>
    <w:rsid w:val="00425F97"/>
    <w:rsid w:val="00426881"/>
    <w:rsid w:val="004324A8"/>
    <w:rsid w:val="00432945"/>
    <w:rsid w:val="004355E2"/>
    <w:rsid w:val="0043792B"/>
    <w:rsid w:val="004415CD"/>
    <w:rsid w:val="004416C2"/>
    <w:rsid w:val="00444329"/>
    <w:rsid w:val="004444F6"/>
    <w:rsid w:val="00446512"/>
    <w:rsid w:val="00447537"/>
    <w:rsid w:val="004527F4"/>
    <w:rsid w:val="004534FB"/>
    <w:rsid w:val="00453582"/>
    <w:rsid w:val="004602BE"/>
    <w:rsid w:val="00462439"/>
    <w:rsid w:val="00462FEB"/>
    <w:rsid w:val="0046307D"/>
    <w:rsid w:val="00464C44"/>
    <w:rsid w:val="00466DF2"/>
    <w:rsid w:val="00467C05"/>
    <w:rsid w:val="0047085D"/>
    <w:rsid w:val="00473D6D"/>
    <w:rsid w:val="0047440C"/>
    <w:rsid w:val="0047455B"/>
    <w:rsid w:val="00475A2B"/>
    <w:rsid w:val="0048149D"/>
    <w:rsid w:val="004825D0"/>
    <w:rsid w:val="0048290F"/>
    <w:rsid w:val="0048417E"/>
    <w:rsid w:val="004851C2"/>
    <w:rsid w:val="00487489"/>
    <w:rsid w:val="004930DE"/>
    <w:rsid w:val="00496847"/>
    <w:rsid w:val="00497634"/>
    <w:rsid w:val="004A05ED"/>
    <w:rsid w:val="004A19E2"/>
    <w:rsid w:val="004A1F96"/>
    <w:rsid w:val="004A3B52"/>
    <w:rsid w:val="004A7391"/>
    <w:rsid w:val="004A7EEC"/>
    <w:rsid w:val="004B10BD"/>
    <w:rsid w:val="004B156E"/>
    <w:rsid w:val="004B1F16"/>
    <w:rsid w:val="004B28B8"/>
    <w:rsid w:val="004B4270"/>
    <w:rsid w:val="004B5C48"/>
    <w:rsid w:val="004C3905"/>
    <w:rsid w:val="004C432C"/>
    <w:rsid w:val="004C4C7C"/>
    <w:rsid w:val="004C5B5C"/>
    <w:rsid w:val="004C6E47"/>
    <w:rsid w:val="004D06FC"/>
    <w:rsid w:val="004D1147"/>
    <w:rsid w:val="004D1A95"/>
    <w:rsid w:val="004D34C3"/>
    <w:rsid w:val="004D38DF"/>
    <w:rsid w:val="004D5A21"/>
    <w:rsid w:val="004D643D"/>
    <w:rsid w:val="004D7AFF"/>
    <w:rsid w:val="004D7D2A"/>
    <w:rsid w:val="004E0D1D"/>
    <w:rsid w:val="004E1167"/>
    <w:rsid w:val="004E205B"/>
    <w:rsid w:val="004E2FDA"/>
    <w:rsid w:val="004E568C"/>
    <w:rsid w:val="004E5C91"/>
    <w:rsid w:val="004E65BB"/>
    <w:rsid w:val="004E68B7"/>
    <w:rsid w:val="004E6BFA"/>
    <w:rsid w:val="004E7005"/>
    <w:rsid w:val="004E7B80"/>
    <w:rsid w:val="004F1FBE"/>
    <w:rsid w:val="004F2FCF"/>
    <w:rsid w:val="004F3328"/>
    <w:rsid w:val="004F3A52"/>
    <w:rsid w:val="004F3A5F"/>
    <w:rsid w:val="004F3B22"/>
    <w:rsid w:val="004F5974"/>
    <w:rsid w:val="004F5B78"/>
    <w:rsid w:val="004F6C86"/>
    <w:rsid w:val="004F7FCC"/>
    <w:rsid w:val="005003AB"/>
    <w:rsid w:val="00501D41"/>
    <w:rsid w:val="00502529"/>
    <w:rsid w:val="0050269C"/>
    <w:rsid w:val="00502EF9"/>
    <w:rsid w:val="005034E0"/>
    <w:rsid w:val="005035E9"/>
    <w:rsid w:val="00503B9E"/>
    <w:rsid w:val="005079CB"/>
    <w:rsid w:val="00511124"/>
    <w:rsid w:val="0051188D"/>
    <w:rsid w:val="00511DFA"/>
    <w:rsid w:val="005136B5"/>
    <w:rsid w:val="00513E11"/>
    <w:rsid w:val="00514F90"/>
    <w:rsid w:val="005157F7"/>
    <w:rsid w:val="00517FA4"/>
    <w:rsid w:val="00520008"/>
    <w:rsid w:val="005213D2"/>
    <w:rsid w:val="0052180F"/>
    <w:rsid w:val="005221F8"/>
    <w:rsid w:val="00522F23"/>
    <w:rsid w:val="00523925"/>
    <w:rsid w:val="00523F2E"/>
    <w:rsid w:val="00524BC2"/>
    <w:rsid w:val="00530DFA"/>
    <w:rsid w:val="00531134"/>
    <w:rsid w:val="0053133F"/>
    <w:rsid w:val="0053144D"/>
    <w:rsid w:val="00532DC9"/>
    <w:rsid w:val="00533628"/>
    <w:rsid w:val="00535175"/>
    <w:rsid w:val="00536C74"/>
    <w:rsid w:val="00537091"/>
    <w:rsid w:val="0054044F"/>
    <w:rsid w:val="00540CDE"/>
    <w:rsid w:val="005423F5"/>
    <w:rsid w:val="005429B0"/>
    <w:rsid w:val="00544C06"/>
    <w:rsid w:val="005455CB"/>
    <w:rsid w:val="00545677"/>
    <w:rsid w:val="005456D1"/>
    <w:rsid w:val="00547072"/>
    <w:rsid w:val="00547BC8"/>
    <w:rsid w:val="00547E1E"/>
    <w:rsid w:val="00550795"/>
    <w:rsid w:val="0055228B"/>
    <w:rsid w:val="005545B6"/>
    <w:rsid w:val="00554700"/>
    <w:rsid w:val="00555606"/>
    <w:rsid w:val="00557E32"/>
    <w:rsid w:val="00560DC8"/>
    <w:rsid w:val="00561EEE"/>
    <w:rsid w:val="00561EF4"/>
    <w:rsid w:val="005641C5"/>
    <w:rsid w:val="0056517C"/>
    <w:rsid w:val="005654F3"/>
    <w:rsid w:val="00566402"/>
    <w:rsid w:val="00570771"/>
    <w:rsid w:val="00571995"/>
    <w:rsid w:val="00571CAD"/>
    <w:rsid w:val="00571CB9"/>
    <w:rsid w:val="00572E6E"/>
    <w:rsid w:val="00573A7B"/>
    <w:rsid w:val="00573B6C"/>
    <w:rsid w:val="0057480B"/>
    <w:rsid w:val="00574B41"/>
    <w:rsid w:val="005751EA"/>
    <w:rsid w:val="00575E4D"/>
    <w:rsid w:val="00575EEF"/>
    <w:rsid w:val="00580774"/>
    <w:rsid w:val="005810F7"/>
    <w:rsid w:val="0058454B"/>
    <w:rsid w:val="00585920"/>
    <w:rsid w:val="005877B2"/>
    <w:rsid w:val="00587C09"/>
    <w:rsid w:val="00590A8F"/>
    <w:rsid w:val="00590C3C"/>
    <w:rsid w:val="00595276"/>
    <w:rsid w:val="005976A1"/>
    <w:rsid w:val="00597740"/>
    <w:rsid w:val="005A01B5"/>
    <w:rsid w:val="005A0D66"/>
    <w:rsid w:val="005A1969"/>
    <w:rsid w:val="005A1F49"/>
    <w:rsid w:val="005A217F"/>
    <w:rsid w:val="005A3561"/>
    <w:rsid w:val="005A3D97"/>
    <w:rsid w:val="005A438A"/>
    <w:rsid w:val="005A54FE"/>
    <w:rsid w:val="005A574E"/>
    <w:rsid w:val="005B0363"/>
    <w:rsid w:val="005B1D7F"/>
    <w:rsid w:val="005B3306"/>
    <w:rsid w:val="005B3D1C"/>
    <w:rsid w:val="005B4348"/>
    <w:rsid w:val="005B4A67"/>
    <w:rsid w:val="005B4C6F"/>
    <w:rsid w:val="005C02F7"/>
    <w:rsid w:val="005C18FF"/>
    <w:rsid w:val="005C1CF1"/>
    <w:rsid w:val="005C2EBB"/>
    <w:rsid w:val="005C54B1"/>
    <w:rsid w:val="005C5E9D"/>
    <w:rsid w:val="005C6153"/>
    <w:rsid w:val="005C6880"/>
    <w:rsid w:val="005C6A50"/>
    <w:rsid w:val="005C6A71"/>
    <w:rsid w:val="005D09B4"/>
    <w:rsid w:val="005D0DF2"/>
    <w:rsid w:val="005D15F3"/>
    <w:rsid w:val="005D1EE2"/>
    <w:rsid w:val="005D3208"/>
    <w:rsid w:val="005D5B51"/>
    <w:rsid w:val="005D76D6"/>
    <w:rsid w:val="005E0F8E"/>
    <w:rsid w:val="005E3553"/>
    <w:rsid w:val="005E5740"/>
    <w:rsid w:val="005E5B9F"/>
    <w:rsid w:val="005E6D96"/>
    <w:rsid w:val="005E7303"/>
    <w:rsid w:val="005E7422"/>
    <w:rsid w:val="005E781D"/>
    <w:rsid w:val="005F018A"/>
    <w:rsid w:val="005F0F0F"/>
    <w:rsid w:val="005F2E28"/>
    <w:rsid w:val="005F3391"/>
    <w:rsid w:val="005F3C48"/>
    <w:rsid w:val="005F4AC3"/>
    <w:rsid w:val="005F4D88"/>
    <w:rsid w:val="005F50A5"/>
    <w:rsid w:val="005F52DD"/>
    <w:rsid w:val="005F612C"/>
    <w:rsid w:val="005F6D27"/>
    <w:rsid w:val="005F75C2"/>
    <w:rsid w:val="005F7821"/>
    <w:rsid w:val="00602372"/>
    <w:rsid w:val="0060240A"/>
    <w:rsid w:val="00604B77"/>
    <w:rsid w:val="00604DDC"/>
    <w:rsid w:val="00607517"/>
    <w:rsid w:val="00610AB5"/>
    <w:rsid w:val="00611D29"/>
    <w:rsid w:val="006123AE"/>
    <w:rsid w:val="00612404"/>
    <w:rsid w:val="00613E22"/>
    <w:rsid w:val="0061467D"/>
    <w:rsid w:val="00614C01"/>
    <w:rsid w:val="00615FFA"/>
    <w:rsid w:val="00616A15"/>
    <w:rsid w:val="00617063"/>
    <w:rsid w:val="00617479"/>
    <w:rsid w:val="006223D1"/>
    <w:rsid w:val="00622497"/>
    <w:rsid w:val="00626894"/>
    <w:rsid w:val="00627105"/>
    <w:rsid w:val="00630408"/>
    <w:rsid w:val="00630E96"/>
    <w:rsid w:val="00630FA3"/>
    <w:rsid w:val="006348B8"/>
    <w:rsid w:val="00634F9B"/>
    <w:rsid w:val="00636B73"/>
    <w:rsid w:val="006372AE"/>
    <w:rsid w:val="006414C4"/>
    <w:rsid w:val="00642854"/>
    <w:rsid w:val="00644D2C"/>
    <w:rsid w:val="006461A4"/>
    <w:rsid w:val="0064628D"/>
    <w:rsid w:val="00646873"/>
    <w:rsid w:val="00646BFC"/>
    <w:rsid w:val="00647345"/>
    <w:rsid w:val="00647FD3"/>
    <w:rsid w:val="00650CBF"/>
    <w:rsid w:val="00651AB0"/>
    <w:rsid w:val="0065366C"/>
    <w:rsid w:val="00654568"/>
    <w:rsid w:val="00655636"/>
    <w:rsid w:val="00656940"/>
    <w:rsid w:val="006574C5"/>
    <w:rsid w:val="00657C6F"/>
    <w:rsid w:val="00662884"/>
    <w:rsid w:val="00662B9D"/>
    <w:rsid w:val="00663E51"/>
    <w:rsid w:val="00664F99"/>
    <w:rsid w:val="006658A8"/>
    <w:rsid w:val="006670F3"/>
    <w:rsid w:val="00667985"/>
    <w:rsid w:val="00667D7E"/>
    <w:rsid w:val="006705AD"/>
    <w:rsid w:val="00670745"/>
    <w:rsid w:val="006710B6"/>
    <w:rsid w:val="0067183C"/>
    <w:rsid w:val="006727DD"/>
    <w:rsid w:val="006738E5"/>
    <w:rsid w:val="0067487E"/>
    <w:rsid w:val="006806F2"/>
    <w:rsid w:val="006810EF"/>
    <w:rsid w:val="006812D7"/>
    <w:rsid w:val="00681A64"/>
    <w:rsid w:val="00683B53"/>
    <w:rsid w:val="00683F71"/>
    <w:rsid w:val="00684B0F"/>
    <w:rsid w:val="00684C91"/>
    <w:rsid w:val="00685FD1"/>
    <w:rsid w:val="006905F9"/>
    <w:rsid w:val="00690644"/>
    <w:rsid w:val="0069131B"/>
    <w:rsid w:val="006950DD"/>
    <w:rsid w:val="00695FD3"/>
    <w:rsid w:val="0069611E"/>
    <w:rsid w:val="00696CD7"/>
    <w:rsid w:val="0069747A"/>
    <w:rsid w:val="006A19B2"/>
    <w:rsid w:val="006A22FA"/>
    <w:rsid w:val="006A235F"/>
    <w:rsid w:val="006A38C9"/>
    <w:rsid w:val="006A4A8E"/>
    <w:rsid w:val="006A6E2F"/>
    <w:rsid w:val="006A6FAC"/>
    <w:rsid w:val="006A72DC"/>
    <w:rsid w:val="006B0BEF"/>
    <w:rsid w:val="006B3858"/>
    <w:rsid w:val="006B3FBE"/>
    <w:rsid w:val="006B3FED"/>
    <w:rsid w:val="006B7815"/>
    <w:rsid w:val="006C19E8"/>
    <w:rsid w:val="006C2196"/>
    <w:rsid w:val="006C5CF7"/>
    <w:rsid w:val="006D3174"/>
    <w:rsid w:val="006D5579"/>
    <w:rsid w:val="006D55EB"/>
    <w:rsid w:val="006E09B2"/>
    <w:rsid w:val="006E2C93"/>
    <w:rsid w:val="006E3EBB"/>
    <w:rsid w:val="006E4634"/>
    <w:rsid w:val="006E4E0F"/>
    <w:rsid w:val="006E5FB8"/>
    <w:rsid w:val="006F1547"/>
    <w:rsid w:val="006F29C2"/>
    <w:rsid w:val="006F43EE"/>
    <w:rsid w:val="006F5F69"/>
    <w:rsid w:val="006F7435"/>
    <w:rsid w:val="006F7FC3"/>
    <w:rsid w:val="0070122B"/>
    <w:rsid w:val="007037E5"/>
    <w:rsid w:val="00704038"/>
    <w:rsid w:val="00711F2B"/>
    <w:rsid w:val="007129BB"/>
    <w:rsid w:val="007142BA"/>
    <w:rsid w:val="00714BA1"/>
    <w:rsid w:val="007168F9"/>
    <w:rsid w:val="00717D7A"/>
    <w:rsid w:val="00721365"/>
    <w:rsid w:val="00725FE4"/>
    <w:rsid w:val="0072795B"/>
    <w:rsid w:val="007319B1"/>
    <w:rsid w:val="00731CAC"/>
    <w:rsid w:val="007326A5"/>
    <w:rsid w:val="00733FF5"/>
    <w:rsid w:val="00735405"/>
    <w:rsid w:val="0073628D"/>
    <w:rsid w:val="00736851"/>
    <w:rsid w:val="007375C4"/>
    <w:rsid w:val="00742658"/>
    <w:rsid w:val="00744732"/>
    <w:rsid w:val="00744BD5"/>
    <w:rsid w:val="00750778"/>
    <w:rsid w:val="007513BF"/>
    <w:rsid w:val="007515AF"/>
    <w:rsid w:val="00751F1C"/>
    <w:rsid w:val="0075310F"/>
    <w:rsid w:val="007541E5"/>
    <w:rsid w:val="007545EF"/>
    <w:rsid w:val="00754BFD"/>
    <w:rsid w:val="0075520A"/>
    <w:rsid w:val="0075590B"/>
    <w:rsid w:val="00755C64"/>
    <w:rsid w:val="00761D66"/>
    <w:rsid w:val="0076218B"/>
    <w:rsid w:val="00762678"/>
    <w:rsid w:val="007629EE"/>
    <w:rsid w:val="00762C97"/>
    <w:rsid w:val="00763477"/>
    <w:rsid w:val="00764025"/>
    <w:rsid w:val="007641D6"/>
    <w:rsid w:val="007648CF"/>
    <w:rsid w:val="007648E2"/>
    <w:rsid w:val="0076521B"/>
    <w:rsid w:val="007654BF"/>
    <w:rsid w:val="00765F3B"/>
    <w:rsid w:val="00766FC9"/>
    <w:rsid w:val="00767A4D"/>
    <w:rsid w:val="0077340E"/>
    <w:rsid w:val="007734F8"/>
    <w:rsid w:val="0077399B"/>
    <w:rsid w:val="0077450D"/>
    <w:rsid w:val="007746A4"/>
    <w:rsid w:val="00776C91"/>
    <w:rsid w:val="00776F8A"/>
    <w:rsid w:val="007775B1"/>
    <w:rsid w:val="007777B0"/>
    <w:rsid w:val="007808BC"/>
    <w:rsid w:val="00781080"/>
    <w:rsid w:val="00781389"/>
    <w:rsid w:val="00783A01"/>
    <w:rsid w:val="00784180"/>
    <w:rsid w:val="00785B45"/>
    <w:rsid w:val="00787894"/>
    <w:rsid w:val="00791009"/>
    <w:rsid w:val="0079228E"/>
    <w:rsid w:val="00792A41"/>
    <w:rsid w:val="007962C6"/>
    <w:rsid w:val="0079751C"/>
    <w:rsid w:val="00797524"/>
    <w:rsid w:val="007978D4"/>
    <w:rsid w:val="007A01C4"/>
    <w:rsid w:val="007A1448"/>
    <w:rsid w:val="007A3117"/>
    <w:rsid w:val="007A3BD3"/>
    <w:rsid w:val="007A5095"/>
    <w:rsid w:val="007A50B5"/>
    <w:rsid w:val="007A6CB4"/>
    <w:rsid w:val="007B0DB5"/>
    <w:rsid w:val="007B205B"/>
    <w:rsid w:val="007B2064"/>
    <w:rsid w:val="007B2323"/>
    <w:rsid w:val="007B55D9"/>
    <w:rsid w:val="007C01FF"/>
    <w:rsid w:val="007C0D35"/>
    <w:rsid w:val="007C3DEB"/>
    <w:rsid w:val="007C3EFD"/>
    <w:rsid w:val="007C48C1"/>
    <w:rsid w:val="007C498A"/>
    <w:rsid w:val="007C4BD8"/>
    <w:rsid w:val="007C542C"/>
    <w:rsid w:val="007C5C36"/>
    <w:rsid w:val="007C6984"/>
    <w:rsid w:val="007C79C3"/>
    <w:rsid w:val="007D079E"/>
    <w:rsid w:val="007D3B9C"/>
    <w:rsid w:val="007D5165"/>
    <w:rsid w:val="007D6D02"/>
    <w:rsid w:val="007D7AC7"/>
    <w:rsid w:val="007D7D30"/>
    <w:rsid w:val="007E059C"/>
    <w:rsid w:val="007E0BD8"/>
    <w:rsid w:val="007E0EBC"/>
    <w:rsid w:val="007E1D5E"/>
    <w:rsid w:val="007E1F6F"/>
    <w:rsid w:val="007E21F9"/>
    <w:rsid w:val="007E3B30"/>
    <w:rsid w:val="007E3FDA"/>
    <w:rsid w:val="007E4ADD"/>
    <w:rsid w:val="007E5821"/>
    <w:rsid w:val="007E700F"/>
    <w:rsid w:val="007E78AB"/>
    <w:rsid w:val="007E7D9F"/>
    <w:rsid w:val="007F0EC1"/>
    <w:rsid w:val="007F110B"/>
    <w:rsid w:val="007F15FC"/>
    <w:rsid w:val="007F546F"/>
    <w:rsid w:val="007F68E8"/>
    <w:rsid w:val="007F6977"/>
    <w:rsid w:val="007F6CBA"/>
    <w:rsid w:val="007F712B"/>
    <w:rsid w:val="007F7BF1"/>
    <w:rsid w:val="00800F02"/>
    <w:rsid w:val="00804308"/>
    <w:rsid w:val="00805182"/>
    <w:rsid w:val="00805EA3"/>
    <w:rsid w:val="00806232"/>
    <w:rsid w:val="00806BE0"/>
    <w:rsid w:val="00806EE3"/>
    <w:rsid w:val="0080701C"/>
    <w:rsid w:val="00813C63"/>
    <w:rsid w:val="008172B8"/>
    <w:rsid w:val="00817EA4"/>
    <w:rsid w:val="008206BB"/>
    <w:rsid w:val="00821A97"/>
    <w:rsid w:val="00821A98"/>
    <w:rsid w:val="008274B4"/>
    <w:rsid w:val="00830DD1"/>
    <w:rsid w:val="00830ED8"/>
    <w:rsid w:val="008328AB"/>
    <w:rsid w:val="00832B5A"/>
    <w:rsid w:val="00832C2B"/>
    <w:rsid w:val="00833E49"/>
    <w:rsid w:val="00835E1B"/>
    <w:rsid w:val="00840464"/>
    <w:rsid w:val="0084150F"/>
    <w:rsid w:val="0084444C"/>
    <w:rsid w:val="008451C6"/>
    <w:rsid w:val="00845575"/>
    <w:rsid w:val="008462E7"/>
    <w:rsid w:val="00846D5E"/>
    <w:rsid w:val="00850575"/>
    <w:rsid w:val="0085296B"/>
    <w:rsid w:val="00853743"/>
    <w:rsid w:val="00853B4A"/>
    <w:rsid w:val="00854A95"/>
    <w:rsid w:val="00854FCB"/>
    <w:rsid w:val="00856A76"/>
    <w:rsid w:val="0085723F"/>
    <w:rsid w:val="00861351"/>
    <w:rsid w:val="008617E4"/>
    <w:rsid w:val="00864E0D"/>
    <w:rsid w:val="00865E7B"/>
    <w:rsid w:val="00865F44"/>
    <w:rsid w:val="00867919"/>
    <w:rsid w:val="00871938"/>
    <w:rsid w:val="008746AA"/>
    <w:rsid w:val="00874C29"/>
    <w:rsid w:val="008770B8"/>
    <w:rsid w:val="00877221"/>
    <w:rsid w:val="00882403"/>
    <w:rsid w:val="00882423"/>
    <w:rsid w:val="00882527"/>
    <w:rsid w:val="00883055"/>
    <w:rsid w:val="00883427"/>
    <w:rsid w:val="00883783"/>
    <w:rsid w:val="008853E4"/>
    <w:rsid w:val="00885D27"/>
    <w:rsid w:val="008876F5"/>
    <w:rsid w:val="00887A17"/>
    <w:rsid w:val="00887B23"/>
    <w:rsid w:val="00887E11"/>
    <w:rsid w:val="00890818"/>
    <w:rsid w:val="00891607"/>
    <w:rsid w:val="00892D3E"/>
    <w:rsid w:val="0089311B"/>
    <w:rsid w:val="0089315F"/>
    <w:rsid w:val="0089602E"/>
    <w:rsid w:val="00896D40"/>
    <w:rsid w:val="0089750A"/>
    <w:rsid w:val="008A114E"/>
    <w:rsid w:val="008A4994"/>
    <w:rsid w:val="008B17E6"/>
    <w:rsid w:val="008B38C7"/>
    <w:rsid w:val="008B3944"/>
    <w:rsid w:val="008B7AD8"/>
    <w:rsid w:val="008B7CF6"/>
    <w:rsid w:val="008C05F3"/>
    <w:rsid w:val="008C1D06"/>
    <w:rsid w:val="008C2964"/>
    <w:rsid w:val="008C5F56"/>
    <w:rsid w:val="008C6BA1"/>
    <w:rsid w:val="008C7DF5"/>
    <w:rsid w:val="008D095C"/>
    <w:rsid w:val="008D23C2"/>
    <w:rsid w:val="008D2940"/>
    <w:rsid w:val="008D3A0A"/>
    <w:rsid w:val="008D6016"/>
    <w:rsid w:val="008D68EB"/>
    <w:rsid w:val="008D76EE"/>
    <w:rsid w:val="008E1187"/>
    <w:rsid w:val="008E1C78"/>
    <w:rsid w:val="008E2754"/>
    <w:rsid w:val="008E2B45"/>
    <w:rsid w:val="008E385C"/>
    <w:rsid w:val="008E411A"/>
    <w:rsid w:val="008E4CE5"/>
    <w:rsid w:val="008E4FE1"/>
    <w:rsid w:val="008E5148"/>
    <w:rsid w:val="008E61AD"/>
    <w:rsid w:val="008E6437"/>
    <w:rsid w:val="008F117B"/>
    <w:rsid w:val="008F21DC"/>
    <w:rsid w:val="008F2BFA"/>
    <w:rsid w:val="008F32DD"/>
    <w:rsid w:val="008F4C23"/>
    <w:rsid w:val="008F5154"/>
    <w:rsid w:val="00900A5B"/>
    <w:rsid w:val="009018D4"/>
    <w:rsid w:val="009019DE"/>
    <w:rsid w:val="00902FA8"/>
    <w:rsid w:val="00904BE6"/>
    <w:rsid w:val="00904CFA"/>
    <w:rsid w:val="009054C3"/>
    <w:rsid w:val="009064EA"/>
    <w:rsid w:val="00906F6C"/>
    <w:rsid w:val="00911858"/>
    <w:rsid w:val="00912868"/>
    <w:rsid w:val="009142D5"/>
    <w:rsid w:val="00916294"/>
    <w:rsid w:val="00916ED7"/>
    <w:rsid w:val="0091701F"/>
    <w:rsid w:val="00917F60"/>
    <w:rsid w:val="00920BE5"/>
    <w:rsid w:val="00920D72"/>
    <w:rsid w:val="00922520"/>
    <w:rsid w:val="00924F3E"/>
    <w:rsid w:val="00926914"/>
    <w:rsid w:val="00926971"/>
    <w:rsid w:val="009271A6"/>
    <w:rsid w:val="00930782"/>
    <w:rsid w:val="0093129D"/>
    <w:rsid w:val="00931E9C"/>
    <w:rsid w:val="00933D91"/>
    <w:rsid w:val="00934602"/>
    <w:rsid w:val="0093562D"/>
    <w:rsid w:val="00937C93"/>
    <w:rsid w:val="00937CC8"/>
    <w:rsid w:val="009404E5"/>
    <w:rsid w:val="00940E8E"/>
    <w:rsid w:val="0094104C"/>
    <w:rsid w:val="0094112D"/>
    <w:rsid w:val="0094157A"/>
    <w:rsid w:val="00941ECF"/>
    <w:rsid w:val="009424AE"/>
    <w:rsid w:val="0094360E"/>
    <w:rsid w:val="009461F6"/>
    <w:rsid w:val="0094639D"/>
    <w:rsid w:val="00947B0E"/>
    <w:rsid w:val="00947BDB"/>
    <w:rsid w:val="00954FCB"/>
    <w:rsid w:val="0095542E"/>
    <w:rsid w:val="00957248"/>
    <w:rsid w:val="009631EE"/>
    <w:rsid w:val="00964D1C"/>
    <w:rsid w:val="0096521D"/>
    <w:rsid w:val="0096599E"/>
    <w:rsid w:val="009677E3"/>
    <w:rsid w:val="00967897"/>
    <w:rsid w:val="00970344"/>
    <w:rsid w:val="00971592"/>
    <w:rsid w:val="00972078"/>
    <w:rsid w:val="0097234B"/>
    <w:rsid w:val="00973A65"/>
    <w:rsid w:val="00974C32"/>
    <w:rsid w:val="00974E59"/>
    <w:rsid w:val="009755B9"/>
    <w:rsid w:val="00977977"/>
    <w:rsid w:val="009857B4"/>
    <w:rsid w:val="0098666A"/>
    <w:rsid w:val="00987073"/>
    <w:rsid w:val="00992240"/>
    <w:rsid w:val="009957D2"/>
    <w:rsid w:val="00995C0F"/>
    <w:rsid w:val="00996FB5"/>
    <w:rsid w:val="009973CD"/>
    <w:rsid w:val="009A0556"/>
    <w:rsid w:val="009A195E"/>
    <w:rsid w:val="009A1CCC"/>
    <w:rsid w:val="009A2CAD"/>
    <w:rsid w:val="009A3B27"/>
    <w:rsid w:val="009A4084"/>
    <w:rsid w:val="009A4E81"/>
    <w:rsid w:val="009A5646"/>
    <w:rsid w:val="009A7D1A"/>
    <w:rsid w:val="009B0CC4"/>
    <w:rsid w:val="009B1903"/>
    <w:rsid w:val="009B1ADD"/>
    <w:rsid w:val="009B3A2D"/>
    <w:rsid w:val="009B50D7"/>
    <w:rsid w:val="009B5A18"/>
    <w:rsid w:val="009B681E"/>
    <w:rsid w:val="009B6930"/>
    <w:rsid w:val="009B709D"/>
    <w:rsid w:val="009B73A3"/>
    <w:rsid w:val="009B7B69"/>
    <w:rsid w:val="009C4C6E"/>
    <w:rsid w:val="009C651D"/>
    <w:rsid w:val="009C6D56"/>
    <w:rsid w:val="009C7055"/>
    <w:rsid w:val="009D079B"/>
    <w:rsid w:val="009D110F"/>
    <w:rsid w:val="009D1980"/>
    <w:rsid w:val="009D1C07"/>
    <w:rsid w:val="009D60AC"/>
    <w:rsid w:val="009D6552"/>
    <w:rsid w:val="009D671A"/>
    <w:rsid w:val="009D6A94"/>
    <w:rsid w:val="009D6CF8"/>
    <w:rsid w:val="009E0014"/>
    <w:rsid w:val="009E08E5"/>
    <w:rsid w:val="009E218B"/>
    <w:rsid w:val="009E2780"/>
    <w:rsid w:val="009E31FC"/>
    <w:rsid w:val="009E3C1D"/>
    <w:rsid w:val="009E4BDA"/>
    <w:rsid w:val="009E72C1"/>
    <w:rsid w:val="009E7429"/>
    <w:rsid w:val="009E7A72"/>
    <w:rsid w:val="009E7CCB"/>
    <w:rsid w:val="009F0156"/>
    <w:rsid w:val="009F1484"/>
    <w:rsid w:val="009F1981"/>
    <w:rsid w:val="009F2E86"/>
    <w:rsid w:val="009F3050"/>
    <w:rsid w:val="009F5E80"/>
    <w:rsid w:val="009F76E9"/>
    <w:rsid w:val="009F7B19"/>
    <w:rsid w:val="00A014D3"/>
    <w:rsid w:val="00A015CA"/>
    <w:rsid w:val="00A0322A"/>
    <w:rsid w:val="00A05F35"/>
    <w:rsid w:val="00A0764F"/>
    <w:rsid w:val="00A11FC6"/>
    <w:rsid w:val="00A127D7"/>
    <w:rsid w:val="00A14EA6"/>
    <w:rsid w:val="00A15251"/>
    <w:rsid w:val="00A15432"/>
    <w:rsid w:val="00A169DA"/>
    <w:rsid w:val="00A16BF0"/>
    <w:rsid w:val="00A176E0"/>
    <w:rsid w:val="00A21DF3"/>
    <w:rsid w:val="00A22A8B"/>
    <w:rsid w:val="00A22B33"/>
    <w:rsid w:val="00A26784"/>
    <w:rsid w:val="00A2722A"/>
    <w:rsid w:val="00A31C0E"/>
    <w:rsid w:val="00A32D58"/>
    <w:rsid w:val="00A3506F"/>
    <w:rsid w:val="00A3636D"/>
    <w:rsid w:val="00A3643A"/>
    <w:rsid w:val="00A37932"/>
    <w:rsid w:val="00A37F8B"/>
    <w:rsid w:val="00A40441"/>
    <w:rsid w:val="00A41CC1"/>
    <w:rsid w:val="00A423C9"/>
    <w:rsid w:val="00A44DBD"/>
    <w:rsid w:val="00A45E8D"/>
    <w:rsid w:val="00A474B6"/>
    <w:rsid w:val="00A522EF"/>
    <w:rsid w:val="00A54312"/>
    <w:rsid w:val="00A54CE9"/>
    <w:rsid w:val="00A57CB3"/>
    <w:rsid w:val="00A603C7"/>
    <w:rsid w:val="00A61973"/>
    <w:rsid w:val="00A61E77"/>
    <w:rsid w:val="00A650B1"/>
    <w:rsid w:val="00A67E29"/>
    <w:rsid w:val="00A67E85"/>
    <w:rsid w:val="00A704BD"/>
    <w:rsid w:val="00A7095D"/>
    <w:rsid w:val="00A70BCB"/>
    <w:rsid w:val="00A7107E"/>
    <w:rsid w:val="00A71C04"/>
    <w:rsid w:val="00A7232A"/>
    <w:rsid w:val="00A72845"/>
    <w:rsid w:val="00A72BE2"/>
    <w:rsid w:val="00A74628"/>
    <w:rsid w:val="00A74B3F"/>
    <w:rsid w:val="00A76B5C"/>
    <w:rsid w:val="00A7729E"/>
    <w:rsid w:val="00A77BCE"/>
    <w:rsid w:val="00A81C27"/>
    <w:rsid w:val="00A83033"/>
    <w:rsid w:val="00A830DE"/>
    <w:rsid w:val="00A8364A"/>
    <w:rsid w:val="00A858BC"/>
    <w:rsid w:val="00A86355"/>
    <w:rsid w:val="00A9055E"/>
    <w:rsid w:val="00A90BCE"/>
    <w:rsid w:val="00A9117A"/>
    <w:rsid w:val="00A926D0"/>
    <w:rsid w:val="00A979DB"/>
    <w:rsid w:val="00A97F2B"/>
    <w:rsid w:val="00AA50BC"/>
    <w:rsid w:val="00AA5A74"/>
    <w:rsid w:val="00AA644D"/>
    <w:rsid w:val="00AA69C6"/>
    <w:rsid w:val="00AB087B"/>
    <w:rsid w:val="00AB1B0E"/>
    <w:rsid w:val="00AB2D25"/>
    <w:rsid w:val="00AB3C91"/>
    <w:rsid w:val="00AB4E20"/>
    <w:rsid w:val="00AB50D5"/>
    <w:rsid w:val="00AB5939"/>
    <w:rsid w:val="00AC12E6"/>
    <w:rsid w:val="00AC1FEC"/>
    <w:rsid w:val="00AC2E03"/>
    <w:rsid w:val="00AC35F5"/>
    <w:rsid w:val="00AC4675"/>
    <w:rsid w:val="00AC5A14"/>
    <w:rsid w:val="00AC5A20"/>
    <w:rsid w:val="00AC5A96"/>
    <w:rsid w:val="00AC6000"/>
    <w:rsid w:val="00AC7592"/>
    <w:rsid w:val="00AD109B"/>
    <w:rsid w:val="00AD53F6"/>
    <w:rsid w:val="00AD6465"/>
    <w:rsid w:val="00AD79C6"/>
    <w:rsid w:val="00AE06E3"/>
    <w:rsid w:val="00AE0B63"/>
    <w:rsid w:val="00AE0CA7"/>
    <w:rsid w:val="00AE1655"/>
    <w:rsid w:val="00AE17A9"/>
    <w:rsid w:val="00AE1E8A"/>
    <w:rsid w:val="00AE27E2"/>
    <w:rsid w:val="00AE2B4E"/>
    <w:rsid w:val="00AE2BCE"/>
    <w:rsid w:val="00AE3B46"/>
    <w:rsid w:val="00AE511E"/>
    <w:rsid w:val="00AE5846"/>
    <w:rsid w:val="00AE609C"/>
    <w:rsid w:val="00AE7192"/>
    <w:rsid w:val="00AF057C"/>
    <w:rsid w:val="00AF1D46"/>
    <w:rsid w:val="00AF2E76"/>
    <w:rsid w:val="00AF5AC5"/>
    <w:rsid w:val="00AF5D4D"/>
    <w:rsid w:val="00AF603F"/>
    <w:rsid w:val="00AF76AA"/>
    <w:rsid w:val="00AF7C38"/>
    <w:rsid w:val="00B03B5F"/>
    <w:rsid w:val="00B047BF"/>
    <w:rsid w:val="00B0495C"/>
    <w:rsid w:val="00B0520C"/>
    <w:rsid w:val="00B06DD0"/>
    <w:rsid w:val="00B07702"/>
    <w:rsid w:val="00B07A9C"/>
    <w:rsid w:val="00B11086"/>
    <w:rsid w:val="00B13DC9"/>
    <w:rsid w:val="00B15936"/>
    <w:rsid w:val="00B17A5E"/>
    <w:rsid w:val="00B21842"/>
    <w:rsid w:val="00B2268B"/>
    <w:rsid w:val="00B26132"/>
    <w:rsid w:val="00B27747"/>
    <w:rsid w:val="00B3108C"/>
    <w:rsid w:val="00B31451"/>
    <w:rsid w:val="00B31476"/>
    <w:rsid w:val="00B31BAE"/>
    <w:rsid w:val="00B34A5D"/>
    <w:rsid w:val="00B363CC"/>
    <w:rsid w:val="00B42015"/>
    <w:rsid w:val="00B422A6"/>
    <w:rsid w:val="00B423D4"/>
    <w:rsid w:val="00B4658A"/>
    <w:rsid w:val="00B51F71"/>
    <w:rsid w:val="00B526BF"/>
    <w:rsid w:val="00B54A0E"/>
    <w:rsid w:val="00B54D3D"/>
    <w:rsid w:val="00B55D17"/>
    <w:rsid w:val="00B5614B"/>
    <w:rsid w:val="00B60383"/>
    <w:rsid w:val="00B60498"/>
    <w:rsid w:val="00B729C9"/>
    <w:rsid w:val="00B73079"/>
    <w:rsid w:val="00B733F7"/>
    <w:rsid w:val="00B759B7"/>
    <w:rsid w:val="00B772A6"/>
    <w:rsid w:val="00B802EB"/>
    <w:rsid w:val="00B804FC"/>
    <w:rsid w:val="00B829F8"/>
    <w:rsid w:val="00B83F57"/>
    <w:rsid w:val="00B86ED5"/>
    <w:rsid w:val="00B876C2"/>
    <w:rsid w:val="00B87B01"/>
    <w:rsid w:val="00B90067"/>
    <w:rsid w:val="00B90D31"/>
    <w:rsid w:val="00B91B7D"/>
    <w:rsid w:val="00B93D6F"/>
    <w:rsid w:val="00B93E1E"/>
    <w:rsid w:val="00BA015D"/>
    <w:rsid w:val="00BA1DA4"/>
    <w:rsid w:val="00BA2051"/>
    <w:rsid w:val="00BA3DC6"/>
    <w:rsid w:val="00BA3DFF"/>
    <w:rsid w:val="00BA5D70"/>
    <w:rsid w:val="00BA673E"/>
    <w:rsid w:val="00BA7C81"/>
    <w:rsid w:val="00BB1765"/>
    <w:rsid w:val="00BB1E27"/>
    <w:rsid w:val="00BB2CD0"/>
    <w:rsid w:val="00BB42F3"/>
    <w:rsid w:val="00BB45A4"/>
    <w:rsid w:val="00BB5A3F"/>
    <w:rsid w:val="00BC096D"/>
    <w:rsid w:val="00BC0C78"/>
    <w:rsid w:val="00BC0E9D"/>
    <w:rsid w:val="00BC2695"/>
    <w:rsid w:val="00BC2C0D"/>
    <w:rsid w:val="00BC301E"/>
    <w:rsid w:val="00BC3514"/>
    <w:rsid w:val="00BC3539"/>
    <w:rsid w:val="00BC3905"/>
    <w:rsid w:val="00BC56BA"/>
    <w:rsid w:val="00BC5AB1"/>
    <w:rsid w:val="00BC622A"/>
    <w:rsid w:val="00BC6D6C"/>
    <w:rsid w:val="00BC7D2C"/>
    <w:rsid w:val="00BD0950"/>
    <w:rsid w:val="00BD53AE"/>
    <w:rsid w:val="00BD5872"/>
    <w:rsid w:val="00BD6DEF"/>
    <w:rsid w:val="00BD71DE"/>
    <w:rsid w:val="00BE0760"/>
    <w:rsid w:val="00BE38E0"/>
    <w:rsid w:val="00BE3F23"/>
    <w:rsid w:val="00BE470C"/>
    <w:rsid w:val="00BE54D8"/>
    <w:rsid w:val="00BE54E2"/>
    <w:rsid w:val="00BE59A7"/>
    <w:rsid w:val="00BE5C4E"/>
    <w:rsid w:val="00BE5F54"/>
    <w:rsid w:val="00BE7B67"/>
    <w:rsid w:val="00BE7DF8"/>
    <w:rsid w:val="00BF0A37"/>
    <w:rsid w:val="00BF5A60"/>
    <w:rsid w:val="00BF6B1A"/>
    <w:rsid w:val="00BF6CDF"/>
    <w:rsid w:val="00C030D7"/>
    <w:rsid w:val="00C04355"/>
    <w:rsid w:val="00C079B9"/>
    <w:rsid w:val="00C106DC"/>
    <w:rsid w:val="00C12670"/>
    <w:rsid w:val="00C12782"/>
    <w:rsid w:val="00C13084"/>
    <w:rsid w:val="00C14353"/>
    <w:rsid w:val="00C149CB"/>
    <w:rsid w:val="00C14FF8"/>
    <w:rsid w:val="00C15492"/>
    <w:rsid w:val="00C210EF"/>
    <w:rsid w:val="00C22CB0"/>
    <w:rsid w:val="00C2775B"/>
    <w:rsid w:val="00C27EFC"/>
    <w:rsid w:val="00C300BE"/>
    <w:rsid w:val="00C3029E"/>
    <w:rsid w:val="00C307B3"/>
    <w:rsid w:val="00C32496"/>
    <w:rsid w:val="00C32F6F"/>
    <w:rsid w:val="00C33A0F"/>
    <w:rsid w:val="00C33A2C"/>
    <w:rsid w:val="00C3621A"/>
    <w:rsid w:val="00C36998"/>
    <w:rsid w:val="00C37CB2"/>
    <w:rsid w:val="00C410F9"/>
    <w:rsid w:val="00C41B5B"/>
    <w:rsid w:val="00C43C66"/>
    <w:rsid w:val="00C44441"/>
    <w:rsid w:val="00C451F3"/>
    <w:rsid w:val="00C4641C"/>
    <w:rsid w:val="00C4675C"/>
    <w:rsid w:val="00C473F8"/>
    <w:rsid w:val="00C4748B"/>
    <w:rsid w:val="00C507B5"/>
    <w:rsid w:val="00C516B9"/>
    <w:rsid w:val="00C54B21"/>
    <w:rsid w:val="00C55CD7"/>
    <w:rsid w:val="00C57EC2"/>
    <w:rsid w:val="00C616C3"/>
    <w:rsid w:val="00C656B5"/>
    <w:rsid w:val="00C65EC9"/>
    <w:rsid w:val="00C6720A"/>
    <w:rsid w:val="00C71903"/>
    <w:rsid w:val="00C722A5"/>
    <w:rsid w:val="00C73BCE"/>
    <w:rsid w:val="00C74716"/>
    <w:rsid w:val="00C74E64"/>
    <w:rsid w:val="00C75368"/>
    <w:rsid w:val="00C75D2D"/>
    <w:rsid w:val="00C766A9"/>
    <w:rsid w:val="00C800E9"/>
    <w:rsid w:val="00C80704"/>
    <w:rsid w:val="00C83B02"/>
    <w:rsid w:val="00C83CFC"/>
    <w:rsid w:val="00C8418F"/>
    <w:rsid w:val="00C8455A"/>
    <w:rsid w:val="00C87A33"/>
    <w:rsid w:val="00C87E91"/>
    <w:rsid w:val="00C93546"/>
    <w:rsid w:val="00C94DDC"/>
    <w:rsid w:val="00C974AA"/>
    <w:rsid w:val="00CA06D1"/>
    <w:rsid w:val="00CA278E"/>
    <w:rsid w:val="00CA4416"/>
    <w:rsid w:val="00CB026A"/>
    <w:rsid w:val="00CB1D38"/>
    <w:rsid w:val="00CB4187"/>
    <w:rsid w:val="00CB69D5"/>
    <w:rsid w:val="00CB781B"/>
    <w:rsid w:val="00CC03F2"/>
    <w:rsid w:val="00CC14AD"/>
    <w:rsid w:val="00CC5240"/>
    <w:rsid w:val="00CC692B"/>
    <w:rsid w:val="00CC7636"/>
    <w:rsid w:val="00CD1BEA"/>
    <w:rsid w:val="00CD27FD"/>
    <w:rsid w:val="00CD4227"/>
    <w:rsid w:val="00CD49D5"/>
    <w:rsid w:val="00CD54D9"/>
    <w:rsid w:val="00CD6CD3"/>
    <w:rsid w:val="00CD7F7D"/>
    <w:rsid w:val="00CE04B1"/>
    <w:rsid w:val="00CE3AD3"/>
    <w:rsid w:val="00CE3D47"/>
    <w:rsid w:val="00CE4C79"/>
    <w:rsid w:val="00CE631C"/>
    <w:rsid w:val="00CE7AAE"/>
    <w:rsid w:val="00CF66C8"/>
    <w:rsid w:val="00D00C86"/>
    <w:rsid w:val="00D03B09"/>
    <w:rsid w:val="00D0464F"/>
    <w:rsid w:val="00D047BB"/>
    <w:rsid w:val="00D05CC9"/>
    <w:rsid w:val="00D07E9F"/>
    <w:rsid w:val="00D119F9"/>
    <w:rsid w:val="00D12197"/>
    <w:rsid w:val="00D124D1"/>
    <w:rsid w:val="00D125A5"/>
    <w:rsid w:val="00D12BCE"/>
    <w:rsid w:val="00D13072"/>
    <w:rsid w:val="00D13727"/>
    <w:rsid w:val="00D14380"/>
    <w:rsid w:val="00D16606"/>
    <w:rsid w:val="00D17410"/>
    <w:rsid w:val="00D17752"/>
    <w:rsid w:val="00D2143C"/>
    <w:rsid w:val="00D21B6D"/>
    <w:rsid w:val="00D22403"/>
    <w:rsid w:val="00D22C19"/>
    <w:rsid w:val="00D2307D"/>
    <w:rsid w:val="00D230B3"/>
    <w:rsid w:val="00D257B4"/>
    <w:rsid w:val="00D26451"/>
    <w:rsid w:val="00D27C23"/>
    <w:rsid w:val="00D30B23"/>
    <w:rsid w:val="00D317BE"/>
    <w:rsid w:val="00D32486"/>
    <w:rsid w:val="00D33B98"/>
    <w:rsid w:val="00D345C3"/>
    <w:rsid w:val="00D35F33"/>
    <w:rsid w:val="00D36F29"/>
    <w:rsid w:val="00D37EB3"/>
    <w:rsid w:val="00D40CEF"/>
    <w:rsid w:val="00D414AC"/>
    <w:rsid w:val="00D41DE4"/>
    <w:rsid w:val="00D436BB"/>
    <w:rsid w:val="00D44487"/>
    <w:rsid w:val="00D50102"/>
    <w:rsid w:val="00D50FF2"/>
    <w:rsid w:val="00D51B80"/>
    <w:rsid w:val="00D55976"/>
    <w:rsid w:val="00D56AB3"/>
    <w:rsid w:val="00D56D32"/>
    <w:rsid w:val="00D5710A"/>
    <w:rsid w:val="00D5712F"/>
    <w:rsid w:val="00D57E0E"/>
    <w:rsid w:val="00D611BF"/>
    <w:rsid w:val="00D61EB4"/>
    <w:rsid w:val="00D6213D"/>
    <w:rsid w:val="00D74C0B"/>
    <w:rsid w:val="00D74D6F"/>
    <w:rsid w:val="00D759B8"/>
    <w:rsid w:val="00D77811"/>
    <w:rsid w:val="00D815A8"/>
    <w:rsid w:val="00D82891"/>
    <w:rsid w:val="00D83121"/>
    <w:rsid w:val="00D835C1"/>
    <w:rsid w:val="00D8510E"/>
    <w:rsid w:val="00D85132"/>
    <w:rsid w:val="00D85DBF"/>
    <w:rsid w:val="00D86C51"/>
    <w:rsid w:val="00D87096"/>
    <w:rsid w:val="00D91E99"/>
    <w:rsid w:val="00D927A6"/>
    <w:rsid w:val="00D92985"/>
    <w:rsid w:val="00D94609"/>
    <w:rsid w:val="00D967FB"/>
    <w:rsid w:val="00DA1213"/>
    <w:rsid w:val="00DA36AA"/>
    <w:rsid w:val="00DA3982"/>
    <w:rsid w:val="00DA469C"/>
    <w:rsid w:val="00DA5070"/>
    <w:rsid w:val="00DB016C"/>
    <w:rsid w:val="00DB118B"/>
    <w:rsid w:val="00DB1C27"/>
    <w:rsid w:val="00DB1CDA"/>
    <w:rsid w:val="00DB2710"/>
    <w:rsid w:val="00DB2A94"/>
    <w:rsid w:val="00DB2DEC"/>
    <w:rsid w:val="00DB56DE"/>
    <w:rsid w:val="00DB66D8"/>
    <w:rsid w:val="00DB714B"/>
    <w:rsid w:val="00DC2102"/>
    <w:rsid w:val="00DC2E0D"/>
    <w:rsid w:val="00DC3A0F"/>
    <w:rsid w:val="00DC40DE"/>
    <w:rsid w:val="00DD045C"/>
    <w:rsid w:val="00DD0619"/>
    <w:rsid w:val="00DD2B16"/>
    <w:rsid w:val="00DD409C"/>
    <w:rsid w:val="00DD4AFC"/>
    <w:rsid w:val="00DD55B8"/>
    <w:rsid w:val="00DD589E"/>
    <w:rsid w:val="00DD7BCD"/>
    <w:rsid w:val="00DE0365"/>
    <w:rsid w:val="00DE1A7F"/>
    <w:rsid w:val="00DE1CDC"/>
    <w:rsid w:val="00DE2DD7"/>
    <w:rsid w:val="00DF0553"/>
    <w:rsid w:val="00DF0BAD"/>
    <w:rsid w:val="00DF11B2"/>
    <w:rsid w:val="00DF23E7"/>
    <w:rsid w:val="00DF47D2"/>
    <w:rsid w:val="00DF5C5F"/>
    <w:rsid w:val="00E01D05"/>
    <w:rsid w:val="00E03388"/>
    <w:rsid w:val="00E042EC"/>
    <w:rsid w:val="00E053BB"/>
    <w:rsid w:val="00E06B78"/>
    <w:rsid w:val="00E12ABF"/>
    <w:rsid w:val="00E12FBE"/>
    <w:rsid w:val="00E1335A"/>
    <w:rsid w:val="00E139E8"/>
    <w:rsid w:val="00E15856"/>
    <w:rsid w:val="00E15DB9"/>
    <w:rsid w:val="00E17268"/>
    <w:rsid w:val="00E21A49"/>
    <w:rsid w:val="00E2342F"/>
    <w:rsid w:val="00E23D9F"/>
    <w:rsid w:val="00E24AE3"/>
    <w:rsid w:val="00E24E25"/>
    <w:rsid w:val="00E2597F"/>
    <w:rsid w:val="00E26FC6"/>
    <w:rsid w:val="00E27025"/>
    <w:rsid w:val="00E272A8"/>
    <w:rsid w:val="00E27AA3"/>
    <w:rsid w:val="00E3061F"/>
    <w:rsid w:val="00E33B1A"/>
    <w:rsid w:val="00E33B69"/>
    <w:rsid w:val="00E346D8"/>
    <w:rsid w:val="00E37CBD"/>
    <w:rsid w:val="00E42358"/>
    <w:rsid w:val="00E425E3"/>
    <w:rsid w:val="00E44447"/>
    <w:rsid w:val="00E454D8"/>
    <w:rsid w:val="00E45580"/>
    <w:rsid w:val="00E46ABE"/>
    <w:rsid w:val="00E46C08"/>
    <w:rsid w:val="00E46C0A"/>
    <w:rsid w:val="00E520B7"/>
    <w:rsid w:val="00E53386"/>
    <w:rsid w:val="00E57576"/>
    <w:rsid w:val="00E60E83"/>
    <w:rsid w:val="00E63071"/>
    <w:rsid w:val="00E65E15"/>
    <w:rsid w:val="00E676A3"/>
    <w:rsid w:val="00E7329F"/>
    <w:rsid w:val="00E73AF2"/>
    <w:rsid w:val="00E7660E"/>
    <w:rsid w:val="00E80724"/>
    <w:rsid w:val="00E80D24"/>
    <w:rsid w:val="00E82C68"/>
    <w:rsid w:val="00E83207"/>
    <w:rsid w:val="00E83291"/>
    <w:rsid w:val="00E8400F"/>
    <w:rsid w:val="00E84262"/>
    <w:rsid w:val="00E84714"/>
    <w:rsid w:val="00E848DF"/>
    <w:rsid w:val="00E86388"/>
    <w:rsid w:val="00E86744"/>
    <w:rsid w:val="00E87527"/>
    <w:rsid w:val="00E87C20"/>
    <w:rsid w:val="00E90FE7"/>
    <w:rsid w:val="00E92114"/>
    <w:rsid w:val="00E92361"/>
    <w:rsid w:val="00E94780"/>
    <w:rsid w:val="00E94D16"/>
    <w:rsid w:val="00E9509A"/>
    <w:rsid w:val="00E9561E"/>
    <w:rsid w:val="00E96BA4"/>
    <w:rsid w:val="00E96E0D"/>
    <w:rsid w:val="00E97FC9"/>
    <w:rsid w:val="00EA2C4A"/>
    <w:rsid w:val="00EA486B"/>
    <w:rsid w:val="00EA4C5F"/>
    <w:rsid w:val="00EA6AB2"/>
    <w:rsid w:val="00EA6F82"/>
    <w:rsid w:val="00EA7897"/>
    <w:rsid w:val="00EA7EC2"/>
    <w:rsid w:val="00EA7F16"/>
    <w:rsid w:val="00EB07F5"/>
    <w:rsid w:val="00EB29C8"/>
    <w:rsid w:val="00EB2E2B"/>
    <w:rsid w:val="00EB2FA4"/>
    <w:rsid w:val="00EB3013"/>
    <w:rsid w:val="00EB3F2D"/>
    <w:rsid w:val="00EB6F8F"/>
    <w:rsid w:val="00EC0488"/>
    <w:rsid w:val="00EC1612"/>
    <w:rsid w:val="00EC1EF8"/>
    <w:rsid w:val="00EC2FBE"/>
    <w:rsid w:val="00EC4FEE"/>
    <w:rsid w:val="00EC5596"/>
    <w:rsid w:val="00ED0261"/>
    <w:rsid w:val="00ED1A34"/>
    <w:rsid w:val="00ED2FA6"/>
    <w:rsid w:val="00ED3E09"/>
    <w:rsid w:val="00ED5143"/>
    <w:rsid w:val="00ED552C"/>
    <w:rsid w:val="00ED7274"/>
    <w:rsid w:val="00EE0859"/>
    <w:rsid w:val="00EE1FD1"/>
    <w:rsid w:val="00EE2658"/>
    <w:rsid w:val="00EE2ACF"/>
    <w:rsid w:val="00EE6224"/>
    <w:rsid w:val="00EE648E"/>
    <w:rsid w:val="00EE662F"/>
    <w:rsid w:val="00EF1765"/>
    <w:rsid w:val="00EF1ED1"/>
    <w:rsid w:val="00EF391A"/>
    <w:rsid w:val="00EF4417"/>
    <w:rsid w:val="00EF580F"/>
    <w:rsid w:val="00F02A4B"/>
    <w:rsid w:val="00F03DE9"/>
    <w:rsid w:val="00F03F10"/>
    <w:rsid w:val="00F04D3D"/>
    <w:rsid w:val="00F05735"/>
    <w:rsid w:val="00F05B5F"/>
    <w:rsid w:val="00F06F0A"/>
    <w:rsid w:val="00F10BBE"/>
    <w:rsid w:val="00F11824"/>
    <w:rsid w:val="00F13E2D"/>
    <w:rsid w:val="00F162FB"/>
    <w:rsid w:val="00F17678"/>
    <w:rsid w:val="00F22BC0"/>
    <w:rsid w:val="00F22E9F"/>
    <w:rsid w:val="00F23808"/>
    <w:rsid w:val="00F2530E"/>
    <w:rsid w:val="00F2569D"/>
    <w:rsid w:val="00F26E1A"/>
    <w:rsid w:val="00F27B13"/>
    <w:rsid w:val="00F27B43"/>
    <w:rsid w:val="00F30687"/>
    <w:rsid w:val="00F30741"/>
    <w:rsid w:val="00F3143E"/>
    <w:rsid w:val="00F32101"/>
    <w:rsid w:val="00F32339"/>
    <w:rsid w:val="00F355CB"/>
    <w:rsid w:val="00F35806"/>
    <w:rsid w:val="00F36CF5"/>
    <w:rsid w:val="00F4019E"/>
    <w:rsid w:val="00F4113E"/>
    <w:rsid w:val="00F415CE"/>
    <w:rsid w:val="00F41D14"/>
    <w:rsid w:val="00F42A74"/>
    <w:rsid w:val="00F44F92"/>
    <w:rsid w:val="00F45070"/>
    <w:rsid w:val="00F456DB"/>
    <w:rsid w:val="00F4606D"/>
    <w:rsid w:val="00F47405"/>
    <w:rsid w:val="00F516E9"/>
    <w:rsid w:val="00F51831"/>
    <w:rsid w:val="00F52081"/>
    <w:rsid w:val="00F5222C"/>
    <w:rsid w:val="00F523EB"/>
    <w:rsid w:val="00F53352"/>
    <w:rsid w:val="00F53705"/>
    <w:rsid w:val="00F53A47"/>
    <w:rsid w:val="00F55863"/>
    <w:rsid w:val="00F56F21"/>
    <w:rsid w:val="00F60899"/>
    <w:rsid w:val="00F60920"/>
    <w:rsid w:val="00F63760"/>
    <w:rsid w:val="00F678CE"/>
    <w:rsid w:val="00F70A3B"/>
    <w:rsid w:val="00F70AA3"/>
    <w:rsid w:val="00F71661"/>
    <w:rsid w:val="00F73B5E"/>
    <w:rsid w:val="00F73BBB"/>
    <w:rsid w:val="00F74A45"/>
    <w:rsid w:val="00F772BA"/>
    <w:rsid w:val="00F775C7"/>
    <w:rsid w:val="00F77719"/>
    <w:rsid w:val="00F807A6"/>
    <w:rsid w:val="00F80887"/>
    <w:rsid w:val="00F81903"/>
    <w:rsid w:val="00F82421"/>
    <w:rsid w:val="00F847EF"/>
    <w:rsid w:val="00F870AA"/>
    <w:rsid w:val="00F87AC3"/>
    <w:rsid w:val="00F91371"/>
    <w:rsid w:val="00F920D4"/>
    <w:rsid w:val="00F924A2"/>
    <w:rsid w:val="00F93AED"/>
    <w:rsid w:val="00F93D6F"/>
    <w:rsid w:val="00F93E27"/>
    <w:rsid w:val="00F9677B"/>
    <w:rsid w:val="00F96DA1"/>
    <w:rsid w:val="00F9728E"/>
    <w:rsid w:val="00FA2B94"/>
    <w:rsid w:val="00FA53CC"/>
    <w:rsid w:val="00FA6689"/>
    <w:rsid w:val="00FB1595"/>
    <w:rsid w:val="00FB2001"/>
    <w:rsid w:val="00FB4E8B"/>
    <w:rsid w:val="00FB63D3"/>
    <w:rsid w:val="00FB7594"/>
    <w:rsid w:val="00FC03E0"/>
    <w:rsid w:val="00FC33EC"/>
    <w:rsid w:val="00FC498D"/>
    <w:rsid w:val="00FC4A6B"/>
    <w:rsid w:val="00FC5812"/>
    <w:rsid w:val="00FC5B1E"/>
    <w:rsid w:val="00FC7A06"/>
    <w:rsid w:val="00FD02B6"/>
    <w:rsid w:val="00FD19C8"/>
    <w:rsid w:val="00FD1F5B"/>
    <w:rsid w:val="00FD2ACE"/>
    <w:rsid w:val="00FD34A6"/>
    <w:rsid w:val="00FD3D6D"/>
    <w:rsid w:val="00FD43CB"/>
    <w:rsid w:val="00FD56E1"/>
    <w:rsid w:val="00FD5BEC"/>
    <w:rsid w:val="00FD5CFB"/>
    <w:rsid w:val="00FD69F4"/>
    <w:rsid w:val="00FD6A37"/>
    <w:rsid w:val="00FE0000"/>
    <w:rsid w:val="00FE4AA5"/>
    <w:rsid w:val="00FE4CB3"/>
    <w:rsid w:val="00FE5BB0"/>
    <w:rsid w:val="00FE6CE2"/>
    <w:rsid w:val="00FE6F8E"/>
    <w:rsid w:val="00FF0977"/>
    <w:rsid w:val="00FF1424"/>
    <w:rsid w:val="00FF3DEB"/>
    <w:rsid w:val="00FF532D"/>
    <w:rsid w:val="00FF739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nhideWhenUsed/>
    <w:qFormat/>
    <w:rsid w:val="004F3A5F"/>
    <w:pPr>
      <w:spacing w:after="0" w:line="288" w:lineRule="auto"/>
    </w:pPr>
    <w:rPr>
      <w:rFonts w:ascii="Verdana" w:eastAsia="Calibri" w:hAnsi="Verdana" w:cs="Times New Roman"/>
      <w:sz w:val="18"/>
      <w:lang w:val="da-DK" w:bidi="ar-SA"/>
    </w:rPr>
  </w:style>
  <w:style w:type="paragraph" w:styleId="Heading1">
    <w:name w:val="heading 1"/>
    <w:basedOn w:val="Normal"/>
    <w:next w:val="Normal"/>
    <w:link w:val="Heading1Char"/>
    <w:uiPriority w:val="9"/>
    <w:qFormat/>
    <w:rsid w:val="001128B9"/>
    <w:pPr>
      <w:outlineLvl w:val="0"/>
    </w:pPr>
    <w:rPr>
      <w:rFonts w:eastAsiaTheme="minorHAnsi" w:cstheme="minorBidi"/>
      <w:b/>
      <w:caps/>
    </w:rPr>
  </w:style>
  <w:style w:type="paragraph" w:styleId="Heading2">
    <w:name w:val="heading 2"/>
    <w:basedOn w:val="Normal"/>
    <w:next w:val="Normal"/>
    <w:link w:val="Heading2Char"/>
    <w:uiPriority w:val="9"/>
    <w:unhideWhenUsed/>
    <w:qFormat/>
    <w:rsid w:val="001128B9"/>
    <w:pPr>
      <w:outlineLvl w:val="1"/>
    </w:pPr>
    <w:rPr>
      <w:rFonts w:eastAsiaTheme="minorHAnsi" w:cstheme="minorBidi"/>
      <w:b/>
    </w:rPr>
  </w:style>
  <w:style w:type="paragraph" w:styleId="Heading3">
    <w:name w:val="heading 3"/>
    <w:basedOn w:val="Normal"/>
    <w:next w:val="Normal"/>
    <w:link w:val="Heading3Char"/>
    <w:uiPriority w:val="9"/>
    <w:unhideWhenUsed/>
    <w:qFormat/>
    <w:rsid w:val="001128B9"/>
    <w:pPr>
      <w:outlineLvl w:val="2"/>
    </w:pPr>
    <w:rPr>
      <w:rFonts w:eastAsiaTheme="minorHAnsi" w:cstheme="minorBidi"/>
      <w:caps/>
    </w:rPr>
  </w:style>
  <w:style w:type="paragraph" w:styleId="Heading4">
    <w:name w:val="heading 4"/>
    <w:basedOn w:val="Normal"/>
    <w:next w:val="Normal"/>
    <w:link w:val="Heading4Char"/>
    <w:uiPriority w:val="9"/>
    <w:unhideWhenUsed/>
    <w:rsid w:val="001128B9"/>
    <w:pPr>
      <w:keepNext/>
      <w:keepLines/>
      <w:spacing w:before="200"/>
      <w:outlineLvl w:val="3"/>
    </w:pPr>
    <w:rPr>
      <w:rFonts w:eastAsiaTheme="majorEastAsia" w:cstheme="majorBidi"/>
      <w:bCs/>
      <w:i/>
      <w:iCs/>
    </w:rPr>
  </w:style>
  <w:style w:type="paragraph" w:styleId="Heading5">
    <w:name w:val="heading 5"/>
    <w:basedOn w:val="Normal"/>
    <w:next w:val="Normal"/>
    <w:link w:val="Heading5Char"/>
    <w:uiPriority w:val="9"/>
    <w:semiHidden/>
    <w:unhideWhenUsed/>
    <w:rsid w:val="001128B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A6689"/>
    <w:pPr>
      <w:spacing w:after="120"/>
      <w:jc w:val="center"/>
      <w:outlineLvl w:val="5"/>
    </w:pPr>
    <w:rPr>
      <w:rFonts w:eastAsiaTheme="minorHAnsi" w:cstheme="minorBidi"/>
      <w:caps/>
      <w:color w:val="943634" w:themeColor="accent2" w:themeShade="BF"/>
      <w:spacing w:val="10"/>
    </w:rPr>
  </w:style>
  <w:style w:type="paragraph" w:styleId="Heading7">
    <w:name w:val="heading 7"/>
    <w:basedOn w:val="Normal"/>
    <w:next w:val="Normal"/>
    <w:link w:val="Heading7Char"/>
    <w:uiPriority w:val="9"/>
    <w:semiHidden/>
    <w:unhideWhenUsed/>
    <w:qFormat/>
    <w:rsid w:val="00FA6689"/>
    <w:pPr>
      <w:spacing w:after="120"/>
      <w:jc w:val="center"/>
      <w:outlineLvl w:val="6"/>
    </w:pPr>
    <w:rPr>
      <w:rFonts w:eastAsiaTheme="minorHAnsi" w:cstheme="minorBidi"/>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FA6689"/>
    <w:pPr>
      <w:spacing w:after="120"/>
      <w:jc w:val="center"/>
      <w:outlineLvl w:val="7"/>
    </w:pPr>
    <w:rPr>
      <w:rFonts w:eastAsiaTheme="minorHAnsi" w:cstheme="minorBidi"/>
      <w:caps/>
      <w:spacing w:val="10"/>
      <w:sz w:val="20"/>
      <w:szCs w:val="20"/>
    </w:rPr>
  </w:style>
  <w:style w:type="paragraph" w:styleId="Heading9">
    <w:name w:val="heading 9"/>
    <w:basedOn w:val="Normal"/>
    <w:next w:val="Normal"/>
    <w:link w:val="Heading9Char"/>
    <w:uiPriority w:val="9"/>
    <w:semiHidden/>
    <w:unhideWhenUsed/>
    <w:qFormat/>
    <w:rsid w:val="00FA6689"/>
    <w:pPr>
      <w:spacing w:after="120"/>
      <w:jc w:val="center"/>
      <w:outlineLvl w:val="8"/>
    </w:pPr>
    <w:rPr>
      <w:rFonts w:eastAsiaTheme="minorHAnsi" w:cstheme="minorBidi"/>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6689"/>
    <w:rPr>
      <w:rFonts w:ascii="Verdana" w:eastAsiaTheme="minorHAnsi" w:hAnsi="Verdana" w:cstheme="minorBidi"/>
      <w:b/>
      <w:caps/>
      <w:sz w:val="18"/>
      <w:lang w:val="da-DK" w:bidi="ar-SA"/>
    </w:rPr>
  </w:style>
  <w:style w:type="paragraph" w:customStyle="1" w:styleId="Alfabetliste">
    <w:name w:val="Alfabetliste"/>
    <w:basedOn w:val="Normal"/>
    <w:qFormat/>
    <w:rsid w:val="00DD7BCD"/>
    <w:pPr>
      <w:numPr>
        <w:numId w:val="17"/>
      </w:numPr>
      <w:tabs>
        <w:tab w:val="left" w:pos="454"/>
      </w:tabs>
      <w:ind w:left="454" w:hanging="227"/>
    </w:pPr>
    <w:rPr>
      <w:rFonts w:eastAsiaTheme="minorHAnsi" w:cstheme="minorBidi"/>
    </w:rPr>
  </w:style>
  <w:style w:type="paragraph" w:customStyle="1" w:styleId="Planche">
    <w:name w:val="Planche"/>
    <w:basedOn w:val="Normal"/>
    <w:next w:val="Normal"/>
    <w:rsid w:val="001128B9"/>
    <w:pPr>
      <w:spacing w:line="240" w:lineRule="auto"/>
    </w:pPr>
    <w:rPr>
      <w:sz w:val="44"/>
    </w:rPr>
  </w:style>
  <w:style w:type="character" w:customStyle="1" w:styleId="Heading2Char">
    <w:name w:val="Heading 2 Char"/>
    <w:basedOn w:val="DefaultParagraphFont"/>
    <w:link w:val="Heading2"/>
    <w:uiPriority w:val="9"/>
    <w:rsid w:val="00FA6689"/>
    <w:rPr>
      <w:rFonts w:ascii="Verdana" w:eastAsiaTheme="minorHAnsi" w:hAnsi="Verdana" w:cstheme="minorBidi"/>
      <w:b/>
      <w:sz w:val="18"/>
      <w:lang w:val="da-DK" w:bidi="ar-SA"/>
    </w:rPr>
  </w:style>
  <w:style w:type="character" w:customStyle="1" w:styleId="Heading3Char">
    <w:name w:val="Heading 3 Char"/>
    <w:basedOn w:val="DefaultParagraphFont"/>
    <w:link w:val="Heading3"/>
    <w:uiPriority w:val="9"/>
    <w:rsid w:val="00FA6689"/>
    <w:rPr>
      <w:rFonts w:ascii="Verdana" w:eastAsiaTheme="minorHAnsi" w:hAnsi="Verdana" w:cstheme="minorBidi"/>
      <w:caps/>
      <w:sz w:val="18"/>
      <w:lang w:val="da-DK" w:bidi="ar-SA"/>
    </w:rPr>
  </w:style>
  <w:style w:type="paragraph" w:customStyle="1" w:styleId="Bullet1">
    <w:name w:val="Bullet 1"/>
    <w:basedOn w:val="Normal"/>
    <w:qFormat/>
    <w:rsid w:val="00370813"/>
    <w:pPr>
      <w:numPr>
        <w:numId w:val="18"/>
      </w:numPr>
      <w:tabs>
        <w:tab w:val="left" w:pos="227"/>
      </w:tabs>
      <w:ind w:left="227" w:hanging="227"/>
    </w:pPr>
    <w:rPr>
      <w:rFonts w:eastAsiaTheme="minorHAnsi" w:cstheme="minorBidi"/>
    </w:rPr>
  </w:style>
  <w:style w:type="paragraph" w:customStyle="1" w:styleId="Bullet2">
    <w:name w:val="Bullet 2"/>
    <w:basedOn w:val="Bullet1"/>
    <w:qFormat/>
    <w:rsid w:val="00370813"/>
    <w:pPr>
      <w:numPr>
        <w:numId w:val="19"/>
      </w:numPr>
      <w:tabs>
        <w:tab w:val="clear" w:pos="227"/>
        <w:tab w:val="left" w:pos="454"/>
      </w:tabs>
      <w:ind w:left="454" w:hanging="227"/>
    </w:pPr>
  </w:style>
  <w:style w:type="paragraph" w:customStyle="1" w:styleId="Fodnotebilledtekst">
    <w:name w:val="Fodnote/billedtekst"/>
    <w:basedOn w:val="Normal"/>
    <w:qFormat/>
    <w:rsid w:val="001128B9"/>
    <w:rPr>
      <w:rFonts w:eastAsiaTheme="minorHAnsi" w:cstheme="minorBidi"/>
      <w:sz w:val="16"/>
    </w:rPr>
  </w:style>
  <w:style w:type="paragraph" w:customStyle="1" w:styleId="Indryk">
    <w:name w:val="Indryk"/>
    <w:basedOn w:val="Normal"/>
    <w:qFormat/>
    <w:rsid w:val="001128B9"/>
    <w:pPr>
      <w:tabs>
        <w:tab w:val="left" w:pos="454"/>
      </w:tabs>
      <w:ind w:left="454" w:hanging="454"/>
    </w:pPr>
    <w:rPr>
      <w:rFonts w:eastAsiaTheme="minorHAnsi" w:cstheme="minorBidi"/>
    </w:rPr>
  </w:style>
  <w:style w:type="paragraph" w:customStyle="1" w:styleId="Indrykindryk">
    <w:name w:val="Indryk + indryk"/>
    <w:basedOn w:val="Indryk"/>
    <w:qFormat/>
    <w:rsid w:val="001128B9"/>
    <w:pPr>
      <w:tabs>
        <w:tab w:val="clear" w:pos="454"/>
        <w:tab w:val="left" w:pos="907"/>
      </w:tabs>
      <w:ind w:left="908"/>
    </w:pPr>
  </w:style>
  <w:style w:type="paragraph" w:customStyle="1" w:styleId="Tabeltekst">
    <w:name w:val="Tabeltekst"/>
    <w:basedOn w:val="Normal"/>
    <w:qFormat/>
    <w:rsid w:val="001128B9"/>
    <w:rPr>
      <w:rFonts w:eastAsiaTheme="minorHAnsi" w:cstheme="minorBidi"/>
      <w:sz w:val="16"/>
    </w:rPr>
  </w:style>
  <w:style w:type="paragraph" w:styleId="Footer">
    <w:name w:val="footer"/>
    <w:basedOn w:val="Normal"/>
    <w:link w:val="FooterChar"/>
    <w:uiPriority w:val="99"/>
    <w:semiHidden/>
    <w:unhideWhenUsed/>
    <w:rsid w:val="001128B9"/>
    <w:pPr>
      <w:tabs>
        <w:tab w:val="right" w:pos="7938"/>
      </w:tabs>
      <w:spacing w:line="220" w:lineRule="exact"/>
    </w:pPr>
    <w:rPr>
      <w:rFonts w:eastAsiaTheme="minorHAnsi" w:cstheme="minorBidi"/>
      <w:sz w:val="14"/>
    </w:rPr>
  </w:style>
  <w:style w:type="character" w:customStyle="1" w:styleId="FooterChar">
    <w:name w:val="Footer Char"/>
    <w:basedOn w:val="DefaultParagraphFont"/>
    <w:link w:val="Footer"/>
    <w:uiPriority w:val="99"/>
    <w:semiHidden/>
    <w:rsid w:val="00370813"/>
    <w:rPr>
      <w:rFonts w:ascii="Verdana" w:hAnsi="Verdana" w:cstheme="minorBidi"/>
      <w:sz w:val="14"/>
      <w:lang w:val="da-DK" w:bidi="ar-SA"/>
    </w:rPr>
  </w:style>
  <w:style w:type="character" w:customStyle="1" w:styleId="Heading4Char">
    <w:name w:val="Heading 4 Char"/>
    <w:basedOn w:val="DefaultParagraphFont"/>
    <w:link w:val="Heading4"/>
    <w:uiPriority w:val="9"/>
    <w:rsid w:val="00FA6689"/>
    <w:rPr>
      <w:rFonts w:ascii="Verdana" w:hAnsi="Verdana"/>
      <w:bCs/>
      <w:i/>
      <w:iCs/>
      <w:sz w:val="18"/>
      <w:lang w:val="da-DK" w:bidi="ar-SA"/>
    </w:rPr>
  </w:style>
  <w:style w:type="character" w:customStyle="1" w:styleId="Heading5Char">
    <w:name w:val="Heading 5 Char"/>
    <w:basedOn w:val="DefaultParagraphFont"/>
    <w:link w:val="Heading5"/>
    <w:uiPriority w:val="9"/>
    <w:semiHidden/>
    <w:rsid w:val="00370813"/>
    <w:rPr>
      <w:rFonts w:eastAsiaTheme="majorEastAsia"/>
      <w:color w:val="243F60" w:themeColor="accent1" w:themeShade="7F"/>
      <w:sz w:val="18"/>
      <w:lang w:val="da-DK" w:bidi="ar-SA"/>
    </w:rPr>
  </w:style>
  <w:style w:type="character" w:customStyle="1" w:styleId="Heading6Char">
    <w:name w:val="Heading 6 Char"/>
    <w:basedOn w:val="DefaultParagraphFont"/>
    <w:link w:val="Heading6"/>
    <w:uiPriority w:val="9"/>
    <w:semiHidden/>
    <w:rsid w:val="00370813"/>
    <w:rPr>
      <w:rFonts w:ascii="Verdana" w:hAnsi="Verdana" w:cstheme="minorBidi"/>
      <w:caps/>
      <w:color w:val="943634" w:themeColor="accent2" w:themeShade="BF"/>
      <w:spacing w:val="10"/>
      <w:sz w:val="18"/>
      <w:lang w:val="da-DK" w:bidi="ar-SA"/>
    </w:rPr>
  </w:style>
  <w:style w:type="character" w:customStyle="1" w:styleId="Heading7Char">
    <w:name w:val="Heading 7 Char"/>
    <w:basedOn w:val="DefaultParagraphFont"/>
    <w:link w:val="Heading7"/>
    <w:uiPriority w:val="9"/>
    <w:semiHidden/>
    <w:rsid w:val="00370813"/>
    <w:rPr>
      <w:rFonts w:ascii="Verdana" w:hAnsi="Verdana" w:cstheme="minorBidi"/>
      <w:i/>
      <w:iCs/>
      <w:caps/>
      <w:color w:val="943634" w:themeColor="accent2" w:themeShade="BF"/>
      <w:spacing w:val="10"/>
      <w:sz w:val="18"/>
      <w:lang w:val="da-DK" w:bidi="ar-SA"/>
    </w:rPr>
  </w:style>
  <w:style w:type="character" w:customStyle="1" w:styleId="Heading8Char">
    <w:name w:val="Heading 8 Char"/>
    <w:basedOn w:val="DefaultParagraphFont"/>
    <w:link w:val="Heading8"/>
    <w:uiPriority w:val="9"/>
    <w:semiHidden/>
    <w:rsid w:val="00370813"/>
    <w:rPr>
      <w:rFonts w:ascii="Verdana" w:hAnsi="Verdana" w:cstheme="minorBidi"/>
      <w:caps/>
      <w:spacing w:val="10"/>
      <w:sz w:val="20"/>
      <w:szCs w:val="20"/>
      <w:lang w:val="da-DK" w:bidi="ar-SA"/>
    </w:rPr>
  </w:style>
  <w:style w:type="character" w:customStyle="1" w:styleId="Heading9Char">
    <w:name w:val="Heading 9 Char"/>
    <w:basedOn w:val="DefaultParagraphFont"/>
    <w:link w:val="Heading9"/>
    <w:uiPriority w:val="9"/>
    <w:semiHidden/>
    <w:rsid w:val="00370813"/>
    <w:rPr>
      <w:rFonts w:ascii="Verdana" w:hAnsi="Verdana" w:cstheme="minorBidi"/>
      <w:i/>
      <w:iCs/>
      <w:caps/>
      <w:spacing w:val="10"/>
      <w:sz w:val="20"/>
      <w:szCs w:val="20"/>
      <w:lang w:val="da-DK" w:bidi="ar-SA"/>
    </w:rPr>
  </w:style>
  <w:style w:type="paragraph" w:styleId="Caption">
    <w:name w:val="caption"/>
    <w:basedOn w:val="Normal"/>
    <w:next w:val="Normal"/>
    <w:uiPriority w:val="35"/>
    <w:semiHidden/>
    <w:unhideWhenUsed/>
    <w:qFormat/>
    <w:rsid w:val="00FA6689"/>
    <w:rPr>
      <w:rFonts w:eastAsiaTheme="minorHAnsi" w:cstheme="minorBidi"/>
      <w:caps/>
      <w:spacing w:val="10"/>
      <w:szCs w:val="18"/>
    </w:rPr>
  </w:style>
  <w:style w:type="paragraph" w:styleId="TOCHeading">
    <w:name w:val="TOC Heading"/>
    <w:basedOn w:val="Heading1"/>
    <w:next w:val="Normal"/>
    <w:uiPriority w:val="39"/>
    <w:semiHidden/>
    <w:unhideWhenUsed/>
    <w:qFormat/>
    <w:rsid w:val="00FA6689"/>
    <w:pPr>
      <w:outlineLvl w:val="9"/>
    </w:pPr>
  </w:style>
  <w:style w:type="paragraph" w:styleId="BalloonText">
    <w:name w:val="Balloon Text"/>
    <w:basedOn w:val="Normal"/>
    <w:link w:val="BalloonTextChar"/>
    <w:uiPriority w:val="99"/>
    <w:semiHidden/>
    <w:unhideWhenUsed/>
    <w:rsid w:val="00132DC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DC9"/>
    <w:rPr>
      <w:rFonts w:ascii="Tahoma" w:eastAsia="Calibri" w:hAnsi="Tahoma" w:cs="Tahoma"/>
      <w:sz w:val="16"/>
      <w:szCs w:val="16"/>
      <w:lang w:val="da-DK" w:bidi="ar-SA"/>
    </w:rPr>
  </w:style>
  <w:style w:type="paragraph" w:styleId="FootnoteText">
    <w:name w:val="footnote text"/>
    <w:basedOn w:val="Normal"/>
    <w:link w:val="FootnoteTextChar"/>
    <w:uiPriority w:val="99"/>
    <w:semiHidden/>
    <w:unhideWhenUsed/>
    <w:rsid w:val="00AB087B"/>
    <w:pPr>
      <w:spacing w:line="240" w:lineRule="auto"/>
    </w:pPr>
    <w:rPr>
      <w:sz w:val="20"/>
      <w:szCs w:val="20"/>
    </w:rPr>
  </w:style>
  <w:style w:type="character" w:customStyle="1" w:styleId="FootnoteTextChar">
    <w:name w:val="Footnote Text Char"/>
    <w:basedOn w:val="DefaultParagraphFont"/>
    <w:link w:val="FootnoteText"/>
    <w:uiPriority w:val="99"/>
    <w:semiHidden/>
    <w:rsid w:val="00AB087B"/>
    <w:rPr>
      <w:rFonts w:ascii="Verdana" w:eastAsia="Calibri" w:hAnsi="Verdana" w:cs="Times New Roman"/>
      <w:sz w:val="20"/>
      <w:szCs w:val="20"/>
      <w:lang w:val="da-DK" w:bidi="ar-SA"/>
    </w:rPr>
  </w:style>
  <w:style w:type="character" w:styleId="FootnoteReference">
    <w:name w:val="footnote reference"/>
    <w:basedOn w:val="DefaultParagraphFont"/>
    <w:uiPriority w:val="99"/>
    <w:semiHidden/>
    <w:unhideWhenUsed/>
    <w:rsid w:val="00AB087B"/>
    <w:rPr>
      <w:vertAlign w:val="superscript"/>
    </w:rPr>
  </w:style>
  <w:style w:type="paragraph" w:styleId="EndnoteText">
    <w:name w:val="endnote text"/>
    <w:basedOn w:val="Normal"/>
    <w:link w:val="EndnoteTextChar"/>
    <w:uiPriority w:val="99"/>
    <w:semiHidden/>
    <w:unhideWhenUsed/>
    <w:rsid w:val="00A423C9"/>
    <w:pPr>
      <w:spacing w:line="240" w:lineRule="auto"/>
    </w:pPr>
    <w:rPr>
      <w:sz w:val="20"/>
      <w:szCs w:val="20"/>
    </w:rPr>
  </w:style>
  <w:style w:type="character" w:customStyle="1" w:styleId="EndnoteTextChar">
    <w:name w:val="Endnote Text Char"/>
    <w:basedOn w:val="DefaultParagraphFont"/>
    <w:link w:val="EndnoteText"/>
    <w:uiPriority w:val="99"/>
    <w:semiHidden/>
    <w:rsid w:val="00A423C9"/>
    <w:rPr>
      <w:rFonts w:ascii="Verdana" w:eastAsia="Calibri" w:hAnsi="Verdana" w:cs="Times New Roman"/>
      <w:sz w:val="20"/>
      <w:szCs w:val="20"/>
      <w:lang w:val="da-DK" w:bidi="ar-SA"/>
    </w:rPr>
  </w:style>
  <w:style w:type="character" w:styleId="EndnoteReference">
    <w:name w:val="endnote reference"/>
    <w:basedOn w:val="DefaultParagraphFont"/>
    <w:uiPriority w:val="99"/>
    <w:semiHidden/>
    <w:unhideWhenUsed/>
    <w:rsid w:val="00A423C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nhideWhenUsed/>
    <w:qFormat/>
    <w:rsid w:val="004F3A5F"/>
    <w:pPr>
      <w:spacing w:after="0" w:line="288" w:lineRule="auto"/>
    </w:pPr>
    <w:rPr>
      <w:rFonts w:ascii="Verdana" w:eastAsia="Calibri" w:hAnsi="Verdana" w:cs="Times New Roman"/>
      <w:sz w:val="18"/>
      <w:lang w:val="da-DK" w:bidi="ar-SA"/>
    </w:rPr>
  </w:style>
  <w:style w:type="paragraph" w:styleId="Heading1">
    <w:name w:val="heading 1"/>
    <w:basedOn w:val="Normal"/>
    <w:next w:val="Normal"/>
    <w:link w:val="Heading1Char"/>
    <w:uiPriority w:val="9"/>
    <w:qFormat/>
    <w:rsid w:val="001128B9"/>
    <w:pPr>
      <w:outlineLvl w:val="0"/>
    </w:pPr>
    <w:rPr>
      <w:rFonts w:eastAsiaTheme="minorHAnsi" w:cstheme="minorBidi"/>
      <w:b/>
      <w:caps/>
    </w:rPr>
  </w:style>
  <w:style w:type="paragraph" w:styleId="Heading2">
    <w:name w:val="heading 2"/>
    <w:basedOn w:val="Normal"/>
    <w:next w:val="Normal"/>
    <w:link w:val="Heading2Char"/>
    <w:uiPriority w:val="9"/>
    <w:unhideWhenUsed/>
    <w:qFormat/>
    <w:rsid w:val="001128B9"/>
    <w:pPr>
      <w:outlineLvl w:val="1"/>
    </w:pPr>
    <w:rPr>
      <w:rFonts w:eastAsiaTheme="minorHAnsi" w:cstheme="minorBidi"/>
      <w:b/>
    </w:rPr>
  </w:style>
  <w:style w:type="paragraph" w:styleId="Heading3">
    <w:name w:val="heading 3"/>
    <w:basedOn w:val="Normal"/>
    <w:next w:val="Normal"/>
    <w:link w:val="Heading3Char"/>
    <w:uiPriority w:val="9"/>
    <w:unhideWhenUsed/>
    <w:qFormat/>
    <w:rsid w:val="001128B9"/>
    <w:pPr>
      <w:outlineLvl w:val="2"/>
    </w:pPr>
    <w:rPr>
      <w:rFonts w:eastAsiaTheme="minorHAnsi" w:cstheme="minorBidi"/>
      <w:caps/>
    </w:rPr>
  </w:style>
  <w:style w:type="paragraph" w:styleId="Heading4">
    <w:name w:val="heading 4"/>
    <w:basedOn w:val="Normal"/>
    <w:next w:val="Normal"/>
    <w:link w:val="Heading4Char"/>
    <w:uiPriority w:val="9"/>
    <w:unhideWhenUsed/>
    <w:rsid w:val="001128B9"/>
    <w:pPr>
      <w:keepNext/>
      <w:keepLines/>
      <w:spacing w:before="200"/>
      <w:outlineLvl w:val="3"/>
    </w:pPr>
    <w:rPr>
      <w:rFonts w:eastAsiaTheme="majorEastAsia" w:cstheme="majorBidi"/>
      <w:bCs/>
      <w:i/>
      <w:iCs/>
    </w:rPr>
  </w:style>
  <w:style w:type="paragraph" w:styleId="Heading5">
    <w:name w:val="heading 5"/>
    <w:basedOn w:val="Normal"/>
    <w:next w:val="Normal"/>
    <w:link w:val="Heading5Char"/>
    <w:uiPriority w:val="9"/>
    <w:semiHidden/>
    <w:unhideWhenUsed/>
    <w:rsid w:val="001128B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A6689"/>
    <w:pPr>
      <w:spacing w:after="120"/>
      <w:jc w:val="center"/>
      <w:outlineLvl w:val="5"/>
    </w:pPr>
    <w:rPr>
      <w:rFonts w:eastAsiaTheme="minorHAnsi" w:cstheme="minorBidi"/>
      <w:caps/>
      <w:color w:val="943634" w:themeColor="accent2" w:themeShade="BF"/>
      <w:spacing w:val="10"/>
    </w:rPr>
  </w:style>
  <w:style w:type="paragraph" w:styleId="Heading7">
    <w:name w:val="heading 7"/>
    <w:basedOn w:val="Normal"/>
    <w:next w:val="Normal"/>
    <w:link w:val="Heading7Char"/>
    <w:uiPriority w:val="9"/>
    <w:semiHidden/>
    <w:unhideWhenUsed/>
    <w:qFormat/>
    <w:rsid w:val="00FA6689"/>
    <w:pPr>
      <w:spacing w:after="120"/>
      <w:jc w:val="center"/>
      <w:outlineLvl w:val="6"/>
    </w:pPr>
    <w:rPr>
      <w:rFonts w:eastAsiaTheme="minorHAnsi" w:cstheme="minorBidi"/>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FA6689"/>
    <w:pPr>
      <w:spacing w:after="120"/>
      <w:jc w:val="center"/>
      <w:outlineLvl w:val="7"/>
    </w:pPr>
    <w:rPr>
      <w:rFonts w:eastAsiaTheme="minorHAnsi" w:cstheme="minorBidi"/>
      <w:caps/>
      <w:spacing w:val="10"/>
      <w:sz w:val="20"/>
      <w:szCs w:val="20"/>
    </w:rPr>
  </w:style>
  <w:style w:type="paragraph" w:styleId="Heading9">
    <w:name w:val="heading 9"/>
    <w:basedOn w:val="Normal"/>
    <w:next w:val="Normal"/>
    <w:link w:val="Heading9Char"/>
    <w:uiPriority w:val="9"/>
    <w:semiHidden/>
    <w:unhideWhenUsed/>
    <w:qFormat/>
    <w:rsid w:val="00FA6689"/>
    <w:pPr>
      <w:spacing w:after="120"/>
      <w:jc w:val="center"/>
      <w:outlineLvl w:val="8"/>
    </w:pPr>
    <w:rPr>
      <w:rFonts w:eastAsiaTheme="minorHAnsi" w:cstheme="minorBidi"/>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6689"/>
    <w:rPr>
      <w:rFonts w:ascii="Verdana" w:eastAsiaTheme="minorHAnsi" w:hAnsi="Verdana" w:cstheme="minorBidi"/>
      <w:b/>
      <w:caps/>
      <w:sz w:val="18"/>
      <w:lang w:val="da-DK" w:bidi="ar-SA"/>
    </w:rPr>
  </w:style>
  <w:style w:type="paragraph" w:customStyle="1" w:styleId="Alfabetliste">
    <w:name w:val="Alfabetliste"/>
    <w:basedOn w:val="Normal"/>
    <w:qFormat/>
    <w:rsid w:val="00DD7BCD"/>
    <w:pPr>
      <w:numPr>
        <w:numId w:val="17"/>
      </w:numPr>
      <w:tabs>
        <w:tab w:val="left" w:pos="454"/>
      </w:tabs>
      <w:ind w:left="454" w:hanging="227"/>
    </w:pPr>
    <w:rPr>
      <w:rFonts w:eastAsiaTheme="minorHAnsi" w:cstheme="minorBidi"/>
    </w:rPr>
  </w:style>
  <w:style w:type="paragraph" w:customStyle="1" w:styleId="Planche">
    <w:name w:val="Planche"/>
    <w:basedOn w:val="Normal"/>
    <w:next w:val="Normal"/>
    <w:rsid w:val="001128B9"/>
    <w:pPr>
      <w:spacing w:line="240" w:lineRule="auto"/>
    </w:pPr>
    <w:rPr>
      <w:sz w:val="44"/>
    </w:rPr>
  </w:style>
  <w:style w:type="character" w:customStyle="1" w:styleId="Heading2Char">
    <w:name w:val="Heading 2 Char"/>
    <w:basedOn w:val="DefaultParagraphFont"/>
    <w:link w:val="Heading2"/>
    <w:uiPriority w:val="9"/>
    <w:rsid w:val="00FA6689"/>
    <w:rPr>
      <w:rFonts w:ascii="Verdana" w:eastAsiaTheme="minorHAnsi" w:hAnsi="Verdana" w:cstheme="minorBidi"/>
      <w:b/>
      <w:sz w:val="18"/>
      <w:lang w:val="da-DK" w:bidi="ar-SA"/>
    </w:rPr>
  </w:style>
  <w:style w:type="character" w:customStyle="1" w:styleId="Heading3Char">
    <w:name w:val="Heading 3 Char"/>
    <w:basedOn w:val="DefaultParagraphFont"/>
    <w:link w:val="Heading3"/>
    <w:uiPriority w:val="9"/>
    <w:rsid w:val="00FA6689"/>
    <w:rPr>
      <w:rFonts w:ascii="Verdana" w:eastAsiaTheme="minorHAnsi" w:hAnsi="Verdana" w:cstheme="minorBidi"/>
      <w:caps/>
      <w:sz w:val="18"/>
      <w:lang w:val="da-DK" w:bidi="ar-SA"/>
    </w:rPr>
  </w:style>
  <w:style w:type="paragraph" w:customStyle="1" w:styleId="Bullet1">
    <w:name w:val="Bullet 1"/>
    <w:basedOn w:val="Normal"/>
    <w:qFormat/>
    <w:rsid w:val="00370813"/>
    <w:pPr>
      <w:numPr>
        <w:numId w:val="18"/>
      </w:numPr>
      <w:tabs>
        <w:tab w:val="left" w:pos="227"/>
      </w:tabs>
      <w:ind w:left="227" w:hanging="227"/>
    </w:pPr>
    <w:rPr>
      <w:rFonts w:eastAsiaTheme="minorHAnsi" w:cstheme="minorBidi"/>
    </w:rPr>
  </w:style>
  <w:style w:type="paragraph" w:customStyle="1" w:styleId="Bullet2">
    <w:name w:val="Bullet 2"/>
    <w:basedOn w:val="Bullet1"/>
    <w:qFormat/>
    <w:rsid w:val="00370813"/>
    <w:pPr>
      <w:numPr>
        <w:numId w:val="19"/>
      </w:numPr>
      <w:tabs>
        <w:tab w:val="clear" w:pos="227"/>
        <w:tab w:val="left" w:pos="454"/>
      </w:tabs>
      <w:ind w:left="454" w:hanging="227"/>
    </w:pPr>
  </w:style>
  <w:style w:type="paragraph" w:customStyle="1" w:styleId="Fodnotebilledtekst">
    <w:name w:val="Fodnote/billedtekst"/>
    <w:basedOn w:val="Normal"/>
    <w:qFormat/>
    <w:rsid w:val="001128B9"/>
    <w:rPr>
      <w:rFonts w:eastAsiaTheme="minorHAnsi" w:cstheme="minorBidi"/>
      <w:sz w:val="16"/>
    </w:rPr>
  </w:style>
  <w:style w:type="paragraph" w:customStyle="1" w:styleId="Indryk">
    <w:name w:val="Indryk"/>
    <w:basedOn w:val="Normal"/>
    <w:qFormat/>
    <w:rsid w:val="001128B9"/>
    <w:pPr>
      <w:tabs>
        <w:tab w:val="left" w:pos="454"/>
      </w:tabs>
      <w:ind w:left="454" w:hanging="454"/>
    </w:pPr>
    <w:rPr>
      <w:rFonts w:eastAsiaTheme="minorHAnsi" w:cstheme="minorBidi"/>
    </w:rPr>
  </w:style>
  <w:style w:type="paragraph" w:customStyle="1" w:styleId="Indrykindryk">
    <w:name w:val="Indryk + indryk"/>
    <w:basedOn w:val="Indryk"/>
    <w:qFormat/>
    <w:rsid w:val="001128B9"/>
    <w:pPr>
      <w:tabs>
        <w:tab w:val="clear" w:pos="454"/>
        <w:tab w:val="left" w:pos="907"/>
      </w:tabs>
      <w:ind w:left="908"/>
    </w:pPr>
  </w:style>
  <w:style w:type="paragraph" w:customStyle="1" w:styleId="Tabeltekst">
    <w:name w:val="Tabeltekst"/>
    <w:basedOn w:val="Normal"/>
    <w:qFormat/>
    <w:rsid w:val="001128B9"/>
    <w:rPr>
      <w:rFonts w:eastAsiaTheme="minorHAnsi" w:cstheme="minorBidi"/>
      <w:sz w:val="16"/>
    </w:rPr>
  </w:style>
  <w:style w:type="paragraph" w:styleId="Footer">
    <w:name w:val="footer"/>
    <w:basedOn w:val="Normal"/>
    <w:link w:val="FooterChar"/>
    <w:uiPriority w:val="99"/>
    <w:semiHidden/>
    <w:unhideWhenUsed/>
    <w:rsid w:val="001128B9"/>
    <w:pPr>
      <w:tabs>
        <w:tab w:val="right" w:pos="7938"/>
      </w:tabs>
      <w:spacing w:line="220" w:lineRule="exact"/>
    </w:pPr>
    <w:rPr>
      <w:rFonts w:eastAsiaTheme="minorHAnsi" w:cstheme="minorBidi"/>
      <w:sz w:val="14"/>
    </w:rPr>
  </w:style>
  <w:style w:type="character" w:customStyle="1" w:styleId="FooterChar">
    <w:name w:val="Footer Char"/>
    <w:basedOn w:val="DefaultParagraphFont"/>
    <w:link w:val="Footer"/>
    <w:uiPriority w:val="99"/>
    <w:semiHidden/>
    <w:rsid w:val="00370813"/>
    <w:rPr>
      <w:rFonts w:ascii="Verdana" w:hAnsi="Verdana" w:cstheme="minorBidi"/>
      <w:sz w:val="14"/>
      <w:lang w:val="da-DK" w:bidi="ar-SA"/>
    </w:rPr>
  </w:style>
  <w:style w:type="character" w:customStyle="1" w:styleId="Heading4Char">
    <w:name w:val="Heading 4 Char"/>
    <w:basedOn w:val="DefaultParagraphFont"/>
    <w:link w:val="Heading4"/>
    <w:uiPriority w:val="9"/>
    <w:rsid w:val="00FA6689"/>
    <w:rPr>
      <w:rFonts w:ascii="Verdana" w:hAnsi="Verdana"/>
      <w:bCs/>
      <w:i/>
      <w:iCs/>
      <w:sz w:val="18"/>
      <w:lang w:val="da-DK" w:bidi="ar-SA"/>
    </w:rPr>
  </w:style>
  <w:style w:type="character" w:customStyle="1" w:styleId="Heading5Char">
    <w:name w:val="Heading 5 Char"/>
    <w:basedOn w:val="DefaultParagraphFont"/>
    <w:link w:val="Heading5"/>
    <w:uiPriority w:val="9"/>
    <w:semiHidden/>
    <w:rsid w:val="00370813"/>
    <w:rPr>
      <w:rFonts w:eastAsiaTheme="majorEastAsia"/>
      <w:color w:val="243F60" w:themeColor="accent1" w:themeShade="7F"/>
      <w:sz w:val="18"/>
      <w:lang w:val="da-DK" w:bidi="ar-SA"/>
    </w:rPr>
  </w:style>
  <w:style w:type="character" w:customStyle="1" w:styleId="Heading6Char">
    <w:name w:val="Heading 6 Char"/>
    <w:basedOn w:val="DefaultParagraphFont"/>
    <w:link w:val="Heading6"/>
    <w:uiPriority w:val="9"/>
    <w:semiHidden/>
    <w:rsid w:val="00370813"/>
    <w:rPr>
      <w:rFonts w:ascii="Verdana" w:hAnsi="Verdana" w:cstheme="minorBidi"/>
      <w:caps/>
      <w:color w:val="943634" w:themeColor="accent2" w:themeShade="BF"/>
      <w:spacing w:val="10"/>
      <w:sz w:val="18"/>
      <w:lang w:val="da-DK" w:bidi="ar-SA"/>
    </w:rPr>
  </w:style>
  <w:style w:type="character" w:customStyle="1" w:styleId="Heading7Char">
    <w:name w:val="Heading 7 Char"/>
    <w:basedOn w:val="DefaultParagraphFont"/>
    <w:link w:val="Heading7"/>
    <w:uiPriority w:val="9"/>
    <w:semiHidden/>
    <w:rsid w:val="00370813"/>
    <w:rPr>
      <w:rFonts w:ascii="Verdana" w:hAnsi="Verdana" w:cstheme="minorBidi"/>
      <w:i/>
      <w:iCs/>
      <w:caps/>
      <w:color w:val="943634" w:themeColor="accent2" w:themeShade="BF"/>
      <w:spacing w:val="10"/>
      <w:sz w:val="18"/>
      <w:lang w:val="da-DK" w:bidi="ar-SA"/>
    </w:rPr>
  </w:style>
  <w:style w:type="character" w:customStyle="1" w:styleId="Heading8Char">
    <w:name w:val="Heading 8 Char"/>
    <w:basedOn w:val="DefaultParagraphFont"/>
    <w:link w:val="Heading8"/>
    <w:uiPriority w:val="9"/>
    <w:semiHidden/>
    <w:rsid w:val="00370813"/>
    <w:rPr>
      <w:rFonts w:ascii="Verdana" w:hAnsi="Verdana" w:cstheme="minorBidi"/>
      <w:caps/>
      <w:spacing w:val="10"/>
      <w:sz w:val="20"/>
      <w:szCs w:val="20"/>
      <w:lang w:val="da-DK" w:bidi="ar-SA"/>
    </w:rPr>
  </w:style>
  <w:style w:type="character" w:customStyle="1" w:styleId="Heading9Char">
    <w:name w:val="Heading 9 Char"/>
    <w:basedOn w:val="DefaultParagraphFont"/>
    <w:link w:val="Heading9"/>
    <w:uiPriority w:val="9"/>
    <w:semiHidden/>
    <w:rsid w:val="00370813"/>
    <w:rPr>
      <w:rFonts w:ascii="Verdana" w:hAnsi="Verdana" w:cstheme="minorBidi"/>
      <w:i/>
      <w:iCs/>
      <w:caps/>
      <w:spacing w:val="10"/>
      <w:sz w:val="20"/>
      <w:szCs w:val="20"/>
      <w:lang w:val="da-DK" w:bidi="ar-SA"/>
    </w:rPr>
  </w:style>
  <w:style w:type="paragraph" w:styleId="Caption">
    <w:name w:val="caption"/>
    <w:basedOn w:val="Normal"/>
    <w:next w:val="Normal"/>
    <w:uiPriority w:val="35"/>
    <w:semiHidden/>
    <w:unhideWhenUsed/>
    <w:qFormat/>
    <w:rsid w:val="00FA6689"/>
    <w:rPr>
      <w:rFonts w:eastAsiaTheme="minorHAnsi" w:cstheme="minorBidi"/>
      <w:caps/>
      <w:spacing w:val="10"/>
      <w:szCs w:val="18"/>
    </w:rPr>
  </w:style>
  <w:style w:type="paragraph" w:styleId="TOCHeading">
    <w:name w:val="TOC Heading"/>
    <w:basedOn w:val="Heading1"/>
    <w:next w:val="Normal"/>
    <w:uiPriority w:val="39"/>
    <w:semiHidden/>
    <w:unhideWhenUsed/>
    <w:qFormat/>
    <w:rsid w:val="00FA6689"/>
    <w:pPr>
      <w:outlineLvl w:val="9"/>
    </w:pPr>
  </w:style>
  <w:style w:type="paragraph" w:styleId="BalloonText">
    <w:name w:val="Balloon Text"/>
    <w:basedOn w:val="Normal"/>
    <w:link w:val="BalloonTextChar"/>
    <w:uiPriority w:val="99"/>
    <w:semiHidden/>
    <w:unhideWhenUsed/>
    <w:rsid w:val="00132DC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DC9"/>
    <w:rPr>
      <w:rFonts w:ascii="Tahoma" w:eastAsia="Calibri" w:hAnsi="Tahoma" w:cs="Tahoma"/>
      <w:sz w:val="16"/>
      <w:szCs w:val="16"/>
      <w:lang w:val="da-DK" w:bidi="ar-SA"/>
    </w:rPr>
  </w:style>
  <w:style w:type="paragraph" w:styleId="FootnoteText">
    <w:name w:val="footnote text"/>
    <w:basedOn w:val="Normal"/>
    <w:link w:val="FootnoteTextChar"/>
    <w:uiPriority w:val="99"/>
    <w:semiHidden/>
    <w:unhideWhenUsed/>
    <w:rsid w:val="00AB087B"/>
    <w:pPr>
      <w:spacing w:line="240" w:lineRule="auto"/>
    </w:pPr>
    <w:rPr>
      <w:sz w:val="20"/>
      <w:szCs w:val="20"/>
    </w:rPr>
  </w:style>
  <w:style w:type="character" w:customStyle="1" w:styleId="FootnoteTextChar">
    <w:name w:val="Footnote Text Char"/>
    <w:basedOn w:val="DefaultParagraphFont"/>
    <w:link w:val="FootnoteText"/>
    <w:uiPriority w:val="99"/>
    <w:semiHidden/>
    <w:rsid w:val="00AB087B"/>
    <w:rPr>
      <w:rFonts w:ascii="Verdana" w:eastAsia="Calibri" w:hAnsi="Verdana" w:cs="Times New Roman"/>
      <w:sz w:val="20"/>
      <w:szCs w:val="20"/>
      <w:lang w:val="da-DK" w:bidi="ar-SA"/>
    </w:rPr>
  </w:style>
  <w:style w:type="character" w:styleId="FootnoteReference">
    <w:name w:val="footnote reference"/>
    <w:basedOn w:val="DefaultParagraphFont"/>
    <w:uiPriority w:val="99"/>
    <w:semiHidden/>
    <w:unhideWhenUsed/>
    <w:rsid w:val="00AB087B"/>
    <w:rPr>
      <w:vertAlign w:val="superscript"/>
    </w:rPr>
  </w:style>
  <w:style w:type="paragraph" w:styleId="EndnoteText">
    <w:name w:val="endnote text"/>
    <w:basedOn w:val="Normal"/>
    <w:link w:val="EndnoteTextChar"/>
    <w:uiPriority w:val="99"/>
    <w:semiHidden/>
    <w:unhideWhenUsed/>
    <w:rsid w:val="00A423C9"/>
    <w:pPr>
      <w:spacing w:line="240" w:lineRule="auto"/>
    </w:pPr>
    <w:rPr>
      <w:sz w:val="20"/>
      <w:szCs w:val="20"/>
    </w:rPr>
  </w:style>
  <w:style w:type="character" w:customStyle="1" w:styleId="EndnoteTextChar">
    <w:name w:val="Endnote Text Char"/>
    <w:basedOn w:val="DefaultParagraphFont"/>
    <w:link w:val="EndnoteText"/>
    <w:uiPriority w:val="99"/>
    <w:semiHidden/>
    <w:rsid w:val="00A423C9"/>
    <w:rPr>
      <w:rFonts w:ascii="Verdana" w:eastAsia="Calibri" w:hAnsi="Verdana" w:cs="Times New Roman"/>
      <w:sz w:val="20"/>
      <w:szCs w:val="20"/>
      <w:lang w:val="da-DK" w:bidi="ar-SA"/>
    </w:rPr>
  </w:style>
  <w:style w:type="character" w:styleId="EndnoteReference">
    <w:name w:val="endnote reference"/>
    <w:basedOn w:val="DefaultParagraphFont"/>
    <w:uiPriority w:val="99"/>
    <w:semiHidden/>
    <w:unhideWhenUsed/>
    <w:rsid w:val="00A423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139D0-A900-48A0-AA37-3FE458E73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3708</Words>
  <Characters>19432</Characters>
  <Application>Microsoft Office Word</Application>
  <DocSecurity>4</DocSecurity>
  <Lines>451</Lines>
  <Paragraphs>93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Nykredit</Company>
  <LinksUpToDate>false</LinksUpToDate>
  <CharactersWithSpaces>23047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Jesper Berg</dc:creator>
  <cp:lastModifiedBy>VAN BUGGENHOUT Sonja (MARKT)</cp:lastModifiedBy>
  <cp:revision>2</cp:revision>
  <cp:lastPrinted>2012-06-07T06:42:00Z</cp:lastPrinted>
  <dcterms:created xsi:type="dcterms:W3CDTF">2012-10-01T07:29:00Z</dcterms:created>
  <dcterms:modified xsi:type="dcterms:W3CDTF">2012-10-01T07:29:00Z</dcterms:modified>
</cp:coreProperties>
</file>