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D1" w:rsidRPr="006041D1" w:rsidRDefault="006041D1" w:rsidP="00823E72">
      <w:pPr>
        <w:pStyle w:val="Title"/>
        <w:pBdr>
          <w:bottom w:val="none" w:sz="0" w:space="0" w:color="auto"/>
        </w:pBd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8000" cy="10717200"/>
            <wp:effectExtent l="0" t="0" r="4445" b="8255"/>
            <wp:wrapNone/>
            <wp:docPr id="14" name="Picture 14" descr="Illustration of the different disabilities and solutions" title="Co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_accessibility act_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334AEB" w:rsidRDefault="00334AEB" w:rsidP="00823E72">
      <w:pPr>
        <w:pStyle w:val="Subtitle"/>
        <w:spacing w:after="0"/>
        <w:jc w:val="center"/>
        <w:rPr>
          <w:rFonts w:ascii="Verdana" w:hAnsi="Verdana" w:cs="Times New Roman"/>
          <w:i w:val="0"/>
          <w:color w:val="auto"/>
          <w:sz w:val="28"/>
          <w:szCs w:val="28"/>
        </w:rPr>
      </w:pPr>
    </w:p>
    <w:p w:rsidR="004528F4" w:rsidRPr="00724FB8" w:rsidRDefault="004528F4" w:rsidP="00724FB8">
      <w:pPr>
        <w:pStyle w:val="Title"/>
        <w:jc w:val="center"/>
        <w:rPr>
          <w:rFonts w:ascii="Verdana" w:hAnsi="Verdana"/>
          <w:i/>
        </w:rPr>
      </w:pPr>
      <w:r w:rsidRPr="00724FB8">
        <w:rPr>
          <w:rFonts w:ascii="Verdana" w:hAnsi="Verdana"/>
        </w:rPr>
        <w:t>EUROPEAN ACCESSIBILITY ACT</w:t>
      </w:r>
    </w:p>
    <w:p w:rsidR="004528F4" w:rsidRPr="005D762E" w:rsidRDefault="004528F4" w:rsidP="00823E72">
      <w:pPr>
        <w:pStyle w:val="Heading1"/>
        <w:spacing w:before="0"/>
        <w:jc w:val="center"/>
        <w:rPr>
          <w:rFonts w:ascii="Verdana" w:hAnsi="Verdana"/>
        </w:rPr>
      </w:pPr>
      <w:r w:rsidRPr="005D762E">
        <w:rPr>
          <w:rFonts w:ascii="Verdana" w:hAnsi="Verdana" w:cs="Times New Roman"/>
          <w:b w:val="0"/>
          <w:color w:val="auto"/>
        </w:rPr>
        <w:t xml:space="preserve">IMPROVING THE ACCESSIBILITY OF PRODUCTS </w:t>
      </w:r>
      <w:r w:rsidR="00EF59F9">
        <w:rPr>
          <w:rFonts w:ascii="Verdana" w:hAnsi="Verdana" w:cs="Times New Roman"/>
          <w:b w:val="0"/>
          <w:color w:val="auto"/>
        </w:rPr>
        <w:br/>
      </w:r>
      <w:r w:rsidRPr="005D762E">
        <w:rPr>
          <w:rFonts w:ascii="Verdana" w:hAnsi="Verdana" w:cs="Times New Roman"/>
          <w:b w:val="0"/>
          <w:color w:val="auto"/>
        </w:rPr>
        <w:t>AND SERVICES IN THE SINGLE MARKET</w:t>
      </w:r>
    </w:p>
    <w:p w:rsidR="005D762E" w:rsidRDefault="005D762E">
      <w:pPr>
        <w:spacing w:after="200" w:line="276" w:lineRule="auto"/>
        <w:jc w:val="left"/>
        <w:rPr>
          <w:rFonts w:eastAsiaTheme="majorEastAsia"/>
          <w:b/>
          <w:bCs/>
          <w:szCs w:val="24"/>
        </w:rPr>
      </w:pPr>
      <w:r>
        <w:rPr>
          <w:szCs w:val="24"/>
        </w:rPr>
        <w:br w:type="page"/>
      </w:r>
    </w:p>
    <w:p w:rsidR="009521F9" w:rsidRPr="005D762E" w:rsidRDefault="009521F9" w:rsidP="00823E72">
      <w:pPr>
        <w:pStyle w:val="Heading2"/>
        <w:rPr>
          <w:rFonts w:ascii="Verdana" w:hAnsi="Verdana"/>
          <w:b w:val="0"/>
          <w:szCs w:val="24"/>
        </w:rPr>
      </w:pPr>
      <w:r w:rsidRPr="005D762E">
        <w:rPr>
          <w:rFonts w:ascii="Verdana" w:hAnsi="Verdana" w:cs="Times New Roman"/>
          <w:color w:val="auto"/>
          <w:sz w:val="24"/>
          <w:szCs w:val="24"/>
        </w:rPr>
        <w:lastRenderedPageBreak/>
        <w:t>Why a European Accessibility Act?</w:t>
      </w:r>
    </w:p>
    <w:p w:rsidR="00A82F21" w:rsidRPr="00EF59F9" w:rsidRDefault="005C4D35" w:rsidP="00EF59F9">
      <w:pPr>
        <w:spacing w:before="120"/>
        <w:rPr>
          <w:rFonts w:ascii="Verdana" w:hAnsi="Verdana"/>
          <w:sz w:val="22"/>
          <w:szCs w:val="22"/>
        </w:rPr>
      </w:pPr>
      <w:r w:rsidRPr="00EF59F9">
        <w:rPr>
          <w:rFonts w:ascii="Verdana" w:hAnsi="Verdana"/>
          <w:sz w:val="22"/>
          <w:szCs w:val="22"/>
        </w:rPr>
        <w:t xml:space="preserve">Around 80 million people in the EU are affected by a disability in some degree. </w:t>
      </w:r>
      <w:r w:rsidR="00ED20A5" w:rsidRPr="00EF59F9">
        <w:rPr>
          <w:rFonts w:ascii="Verdana" w:hAnsi="Verdana"/>
          <w:sz w:val="22"/>
          <w:szCs w:val="22"/>
        </w:rPr>
        <w:t xml:space="preserve">Accessibility is a precondition to ensure </w:t>
      </w:r>
      <w:r w:rsidR="00B411A6" w:rsidRPr="00EF59F9">
        <w:rPr>
          <w:rFonts w:ascii="Verdana" w:hAnsi="Verdana"/>
          <w:sz w:val="22"/>
          <w:szCs w:val="22"/>
        </w:rPr>
        <w:t xml:space="preserve">their </w:t>
      </w:r>
      <w:r w:rsidR="00ED20A5" w:rsidRPr="00EF59F9">
        <w:rPr>
          <w:rFonts w:ascii="Verdana" w:hAnsi="Verdana"/>
          <w:sz w:val="22"/>
          <w:szCs w:val="22"/>
        </w:rPr>
        <w:t xml:space="preserve">full and equal participation in society. </w:t>
      </w:r>
      <w:r w:rsidR="00A82F21" w:rsidRPr="00EF59F9">
        <w:rPr>
          <w:rFonts w:ascii="Verdana" w:hAnsi="Verdana"/>
          <w:sz w:val="22"/>
          <w:szCs w:val="22"/>
        </w:rPr>
        <w:t xml:space="preserve">The European Accessibility Act (EAA) aims to improve the functioning of the internal market for accessible products and services by removing barriers created by divergent legislation. </w:t>
      </w:r>
    </w:p>
    <w:p w:rsidR="00E3498A" w:rsidRPr="00EF59F9" w:rsidRDefault="00E3498A" w:rsidP="00EF59F9">
      <w:pPr>
        <w:spacing w:before="120"/>
        <w:rPr>
          <w:rFonts w:ascii="Verdana" w:eastAsia="Calibri" w:hAnsi="Verdana" w:cs="Arial"/>
          <w:sz w:val="22"/>
          <w:szCs w:val="22"/>
        </w:rPr>
      </w:pPr>
      <w:r w:rsidRPr="00EF59F9">
        <w:rPr>
          <w:rFonts w:ascii="Verdana" w:eastAsia="Calibri" w:hAnsi="Verdana" w:cs="Arial"/>
          <w:sz w:val="22"/>
          <w:szCs w:val="22"/>
        </w:rPr>
        <w:t>The EU and most of the Member States have ratified the UN Convention on the Rights of Persons with Disabilities (UN CRPD).</w:t>
      </w:r>
      <w:r w:rsidR="005D762E" w:rsidRPr="00EF59F9">
        <w:rPr>
          <w:rFonts w:ascii="Verdana" w:eastAsia="Calibri" w:hAnsi="Verdana" w:cs="Arial"/>
          <w:sz w:val="22"/>
          <w:szCs w:val="22"/>
        </w:rPr>
        <w:t xml:space="preserve"> </w:t>
      </w:r>
      <w:r w:rsidRPr="00EF59F9">
        <w:rPr>
          <w:rFonts w:ascii="Verdana" w:eastAsia="Calibri" w:hAnsi="Verdana" w:cs="Arial"/>
          <w:sz w:val="22"/>
          <w:szCs w:val="22"/>
        </w:rPr>
        <w:t>As such they have committed to create a legislative framework for accessibility in line with Article 9 of the Convention. Accessibility is considered as a wide concept that includes the prevention and elimination of obstacles that pose problems for persons with disabilities in using products, services and infrastructures.</w:t>
      </w:r>
    </w:p>
    <w:p w:rsidR="00E3498A" w:rsidRPr="00EF59F9" w:rsidRDefault="00E3498A" w:rsidP="00EF59F9">
      <w:pPr>
        <w:spacing w:before="120"/>
        <w:rPr>
          <w:rFonts w:ascii="Verdana" w:eastAsia="Calibri" w:hAnsi="Verdana" w:cs="Arial"/>
          <w:sz w:val="22"/>
          <w:szCs w:val="22"/>
        </w:rPr>
      </w:pPr>
      <w:r w:rsidRPr="00EF59F9">
        <w:rPr>
          <w:rFonts w:ascii="Verdana" w:eastAsia="Calibri" w:hAnsi="Verdana" w:cs="Arial"/>
          <w:sz w:val="22"/>
          <w:szCs w:val="22"/>
        </w:rPr>
        <w:t>Member States have started to legislate on accessibility independently, increasing regulatory fragmentation.</w:t>
      </w:r>
      <w:r w:rsidR="005D762E" w:rsidRPr="00EF59F9">
        <w:rPr>
          <w:rFonts w:ascii="Verdana" w:eastAsia="Calibri" w:hAnsi="Verdana" w:cs="Arial"/>
          <w:sz w:val="22"/>
          <w:szCs w:val="22"/>
        </w:rPr>
        <w:t xml:space="preserve"> </w:t>
      </w:r>
      <w:r w:rsidRPr="00EF59F9">
        <w:rPr>
          <w:rFonts w:ascii="Verdana" w:eastAsia="Calibri" w:hAnsi="Verdana" w:cs="Arial"/>
          <w:sz w:val="22"/>
          <w:szCs w:val="22"/>
        </w:rPr>
        <w:t>The Commission table the Accessibility Act to help dismantle barriers between Member States due to different national accessibility requirements that are emerging.</w:t>
      </w:r>
      <w:r w:rsidR="005D762E" w:rsidRPr="00EF59F9">
        <w:rPr>
          <w:rFonts w:ascii="Verdana" w:eastAsia="Calibri" w:hAnsi="Verdana" w:cs="Arial"/>
          <w:sz w:val="22"/>
          <w:szCs w:val="22"/>
        </w:rPr>
        <w:t xml:space="preserve"> </w:t>
      </w:r>
      <w:r w:rsidRPr="00EF59F9">
        <w:rPr>
          <w:rFonts w:ascii="Verdana" w:eastAsia="Calibri" w:hAnsi="Verdana" w:cs="Arial"/>
          <w:sz w:val="22"/>
          <w:szCs w:val="22"/>
        </w:rPr>
        <w:t>The Accessibility Act will establish European-wide functional requirements. This means requirements establishing accessibility principles instead of prescribing the detailed technical solutions.</w:t>
      </w:r>
    </w:p>
    <w:p w:rsidR="000C47EB" w:rsidRPr="005D762E" w:rsidRDefault="000C796B" w:rsidP="00823E72">
      <w:pPr>
        <w:pStyle w:val="Heading2"/>
        <w:rPr>
          <w:rFonts w:ascii="Verdana" w:hAnsi="Verdana"/>
          <w:szCs w:val="24"/>
        </w:rPr>
      </w:pPr>
      <w:r w:rsidRPr="005D762E">
        <w:rPr>
          <w:rFonts w:ascii="Verdana" w:hAnsi="Verdana" w:cs="Times New Roman"/>
          <w:color w:val="auto"/>
          <w:sz w:val="24"/>
          <w:szCs w:val="24"/>
        </w:rPr>
        <w:t xml:space="preserve">What will it cover? </w:t>
      </w:r>
    </w:p>
    <w:p w:rsidR="000D481E" w:rsidRPr="005D762E" w:rsidRDefault="00887DD5" w:rsidP="000C47EB">
      <w:pPr>
        <w:rPr>
          <w:rFonts w:ascii="Verdana" w:hAnsi="Verdana"/>
          <w:sz w:val="22"/>
          <w:szCs w:val="24"/>
        </w:rPr>
      </w:pPr>
      <w:r w:rsidRPr="005D762E">
        <w:rPr>
          <w:rFonts w:ascii="Verdana" w:hAnsi="Verdana"/>
          <w:sz w:val="22"/>
          <w:szCs w:val="24"/>
        </w:rPr>
        <w:t>The</w:t>
      </w:r>
      <w:r w:rsidR="000D481E" w:rsidRPr="005D762E">
        <w:rPr>
          <w:rFonts w:ascii="Verdana" w:hAnsi="Verdana"/>
          <w:sz w:val="22"/>
          <w:szCs w:val="24"/>
        </w:rPr>
        <w:t xml:space="preserve"> European Accessibility Act will cover the following products and services:</w:t>
      </w:r>
    </w:p>
    <w:p w:rsidR="000C47EB" w:rsidRPr="005D762E" w:rsidRDefault="007562BC" w:rsidP="00EF59F9">
      <w:pPr>
        <w:numPr>
          <w:ilvl w:val="0"/>
          <w:numId w:val="24"/>
        </w:numPr>
        <w:spacing w:before="60" w:after="40" w:line="276" w:lineRule="auto"/>
        <w:jc w:val="left"/>
        <w:rPr>
          <w:rFonts w:ascii="Verdana" w:eastAsia="Calibri" w:hAnsi="Verdana"/>
          <w:sz w:val="22"/>
          <w:szCs w:val="24"/>
        </w:rPr>
      </w:pPr>
      <w:r w:rsidRPr="005D762E">
        <w:rPr>
          <w:rFonts w:ascii="Verdana" w:eastAsia="Calibri" w:hAnsi="Verdana"/>
          <w:sz w:val="22"/>
          <w:szCs w:val="24"/>
        </w:rPr>
        <w:t>computers and operating systems</w:t>
      </w:r>
    </w:p>
    <w:p w:rsidR="000C47EB" w:rsidRPr="005D762E" w:rsidRDefault="006B106B" w:rsidP="00EF59F9">
      <w:pPr>
        <w:numPr>
          <w:ilvl w:val="0"/>
          <w:numId w:val="24"/>
        </w:numPr>
        <w:spacing w:before="60" w:after="40" w:line="276" w:lineRule="auto"/>
        <w:jc w:val="left"/>
        <w:rPr>
          <w:rFonts w:ascii="Verdana" w:eastAsia="Calibri" w:hAnsi="Verdana"/>
          <w:sz w:val="22"/>
          <w:szCs w:val="24"/>
        </w:rPr>
      </w:pPr>
      <w:r w:rsidRPr="005D762E">
        <w:rPr>
          <w:rFonts w:ascii="Verdana" w:eastAsia="Calibri" w:hAnsi="Verdana"/>
          <w:sz w:val="22"/>
          <w:szCs w:val="24"/>
        </w:rPr>
        <w:t>ATMs</w:t>
      </w:r>
      <w:r w:rsidR="00735B82" w:rsidRPr="005D762E">
        <w:rPr>
          <w:rFonts w:ascii="Verdana" w:eastAsia="Calibri" w:hAnsi="Verdana"/>
          <w:sz w:val="22"/>
          <w:szCs w:val="24"/>
        </w:rPr>
        <w:t xml:space="preserve">, </w:t>
      </w:r>
      <w:r w:rsidR="007562BC" w:rsidRPr="005D762E">
        <w:rPr>
          <w:rFonts w:ascii="Verdana" w:eastAsia="Calibri" w:hAnsi="Verdana"/>
          <w:sz w:val="22"/>
          <w:szCs w:val="24"/>
        </w:rPr>
        <w:t>ticketing and check-in machines</w:t>
      </w:r>
    </w:p>
    <w:p w:rsidR="000C47EB" w:rsidRPr="005D762E" w:rsidRDefault="007562BC" w:rsidP="00EF59F9">
      <w:pPr>
        <w:numPr>
          <w:ilvl w:val="0"/>
          <w:numId w:val="24"/>
        </w:numPr>
        <w:spacing w:before="60" w:after="40" w:line="276" w:lineRule="auto"/>
        <w:jc w:val="left"/>
        <w:rPr>
          <w:rFonts w:ascii="Verdana" w:eastAsia="Calibri" w:hAnsi="Verdana"/>
          <w:sz w:val="22"/>
          <w:szCs w:val="24"/>
        </w:rPr>
      </w:pPr>
      <w:r w:rsidRPr="005D762E">
        <w:rPr>
          <w:rFonts w:ascii="Verdana" w:eastAsia="Calibri" w:hAnsi="Verdana"/>
          <w:sz w:val="22"/>
          <w:szCs w:val="24"/>
        </w:rPr>
        <w:t>telephones and smartphones</w:t>
      </w:r>
    </w:p>
    <w:p w:rsidR="000C47EB" w:rsidRPr="005D762E" w:rsidRDefault="000C47EB" w:rsidP="00EF59F9">
      <w:pPr>
        <w:numPr>
          <w:ilvl w:val="0"/>
          <w:numId w:val="24"/>
        </w:numPr>
        <w:spacing w:before="60" w:after="40" w:line="276" w:lineRule="auto"/>
        <w:jc w:val="left"/>
        <w:rPr>
          <w:rFonts w:ascii="Verdana" w:eastAsia="Calibri" w:hAnsi="Verdana"/>
          <w:sz w:val="22"/>
          <w:szCs w:val="24"/>
        </w:rPr>
      </w:pPr>
      <w:r w:rsidRPr="005D762E">
        <w:rPr>
          <w:rFonts w:ascii="Verdana" w:eastAsia="Calibri" w:hAnsi="Verdana"/>
          <w:sz w:val="22"/>
          <w:szCs w:val="24"/>
        </w:rPr>
        <w:t xml:space="preserve">TV equipment related to </w:t>
      </w:r>
      <w:r w:rsidR="007562BC" w:rsidRPr="005D762E">
        <w:rPr>
          <w:rFonts w:ascii="Verdana" w:eastAsia="Calibri" w:hAnsi="Verdana"/>
          <w:sz w:val="22"/>
          <w:szCs w:val="24"/>
        </w:rPr>
        <w:t>digital television services</w:t>
      </w:r>
    </w:p>
    <w:p w:rsidR="000C47EB" w:rsidRPr="005D762E" w:rsidRDefault="000C47EB" w:rsidP="00EF59F9">
      <w:pPr>
        <w:numPr>
          <w:ilvl w:val="0"/>
          <w:numId w:val="24"/>
        </w:numPr>
        <w:spacing w:before="60" w:after="40"/>
        <w:rPr>
          <w:rFonts w:ascii="Verdana" w:hAnsi="Verdana"/>
          <w:sz w:val="22"/>
          <w:szCs w:val="24"/>
        </w:rPr>
      </w:pPr>
      <w:r w:rsidRPr="005D762E">
        <w:rPr>
          <w:rFonts w:ascii="Verdana" w:hAnsi="Verdana"/>
          <w:sz w:val="22"/>
          <w:szCs w:val="24"/>
        </w:rPr>
        <w:t>telephony</w:t>
      </w:r>
      <w:r w:rsidR="007562BC" w:rsidRPr="005D762E">
        <w:rPr>
          <w:rFonts w:ascii="Verdana" w:hAnsi="Verdana"/>
          <w:sz w:val="22"/>
          <w:szCs w:val="24"/>
        </w:rPr>
        <w:t xml:space="preserve"> services and related equipment</w:t>
      </w:r>
    </w:p>
    <w:p w:rsidR="000C47EB" w:rsidRPr="005D762E" w:rsidRDefault="000C47EB" w:rsidP="00EF59F9">
      <w:pPr>
        <w:numPr>
          <w:ilvl w:val="0"/>
          <w:numId w:val="24"/>
        </w:numPr>
        <w:spacing w:before="60" w:after="40"/>
        <w:rPr>
          <w:rFonts w:ascii="Verdana" w:hAnsi="Verdana"/>
          <w:sz w:val="22"/>
          <w:szCs w:val="24"/>
        </w:rPr>
      </w:pPr>
      <w:r w:rsidRPr="005D762E">
        <w:rPr>
          <w:rFonts w:ascii="Verdana" w:hAnsi="Verdana"/>
          <w:sz w:val="22"/>
          <w:szCs w:val="24"/>
        </w:rPr>
        <w:t>a</w:t>
      </w:r>
      <w:r w:rsidR="006B106B" w:rsidRPr="005D762E">
        <w:rPr>
          <w:rFonts w:ascii="Verdana" w:hAnsi="Verdana"/>
          <w:sz w:val="22"/>
          <w:szCs w:val="24"/>
        </w:rPr>
        <w:t>udiovisual media service</w:t>
      </w:r>
      <w:r w:rsidR="007562BC" w:rsidRPr="005D762E">
        <w:rPr>
          <w:rFonts w:ascii="Verdana" w:hAnsi="Verdana"/>
          <w:sz w:val="22"/>
          <w:szCs w:val="24"/>
        </w:rPr>
        <w:t>s, such as television broadcast</w:t>
      </w:r>
      <w:r w:rsidR="007D755B" w:rsidRPr="005D762E">
        <w:rPr>
          <w:rFonts w:ascii="Verdana" w:hAnsi="Verdana"/>
          <w:sz w:val="22"/>
          <w:szCs w:val="24"/>
        </w:rPr>
        <w:t xml:space="preserve">  and related consumer equipment</w:t>
      </w:r>
    </w:p>
    <w:p w:rsidR="000C47EB" w:rsidRPr="005D762E" w:rsidRDefault="00F25CB3" w:rsidP="00EF59F9">
      <w:pPr>
        <w:numPr>
          <w:ilvl w:val="0"/>
          <w:numId w:val="24"/>
        </w:numPr>
        <w:spacing w:before="60" w:after="40"/>
        <w:rPr>
          <w:rFonts w:ascii="Verdana" w:hAnsi="Verdana"/>
          <w:sz w:val="22"/>
          <w:szCs w:val="24"/>
        </w:rPr>
      </w:pPr>
      <w:r w:rsidRPr="005D762E">
        <w:rPr>
          <w:rFonts w:ascii="Verdana" w:hAnsi="Verdana"/>
          <w:sz w:val="22"/>
          <w:szCs w:val="24"/>
        </w:rPr>
        <w:t xml:space="preserve">services related to </w:t>
      </w:r>
      <w:r w:rsidR="000C47EB" w:rsidRPr="005D762E">
        <w:rPr>
          <w:rFonts w:ascii="Verdana" w:hAnsi="Verdana"/>
          <w:sz w:val="22"/>
          <w:szCs w:val="24"/>
        </w:rPr>
        <w:t>air, bus, rail</w:t>
      </w:r>
      <w:r w:rsidR="007D755B" w:rsidRPr="005D762E">
        <w:rPr>
          <w:rFonts w:ascii="Verdana" w:hAnsi="Verdana"/>
          <w:sz w:val="22"/>
          <w:szCs w:val="24"/>
        </w:rPr>
        <w:t xml:space="preserve"> and </w:t>
      </w:r>
      <w:r w:rsidR="000C47EB" w:rsidRPr="005D762E">
        <w:rPr>
          <w:rFonts w:ascii="Verdana" w:hAnsi="Verdana"/>
          <w:sz w:val="22"/>
          <w:szCs w:val="24"/>
        </w:rPr>
        <w:t>waterbor</w:t>
      </w:r>
      <w:r w:rsidR="007562BC" w:rsidRPr="005D762E">
        <w:rPr>
          <w:rFonts w:ascii="Verdana" w:hAnsi="Verdana"/>
          <w:sz w:val="22"/>
          <w:szCs w:val="24"/>
        </w:rPr>
        <w:t xml:space="preserve">ne </w:t>
      </w:r>
      <w:r w:rsidR="00D25A4F" w:rsidRPr="005D762E">
        <w:rPr>
          <w:rFonts w:ascii="Verdana" w:hAnsi="Verdana"/>
          <w:sz w:val="22"/>
          <w:szCs w:val="24"/>
        </w:rPr>
        <w:t xml:space="preserve">passenger </w:t>
      </w:r>
      <w:r w:rsidR="007562BC" w:rsidRPr="005D762E">
        <w:rPr>
          <w:rFonts w:ascii="Verdana" w:hAnsi="Verdana"/>
          <w:sz w:val="22"/>
          <w:szCs w:val="24"/>
        </w:rPr>
        <w:t xml:space="preserve">transport </w:t>
      </w:r>
    </w:p>
    <w:p w:rsidR="000C47EB" w:rsidRPr="005D762E" w:rsidRDefault="007562BC" w:rsidP="00EF59F9">
      <w:pPr>
        <w:numPr>
          <w:ilvl w:val="0"/>
          <w:numId w:val="24"/>
        </w:numPr>
        <w:spacing w:before="60" w:after="40"/>
        <w:rPr>
          <w:rFonts w:ascii="Verdana" w:hAnsi="Verdana"/>
          <w:sz w:val="22"/>
          <w:szCs w:val="24"/>
        </w:rPr>
      </w:pPr>
      <w:r w:rsidRPr="005D762E">
        <w:rPr>
          <w:rFonts w:ascii="Verdana" w:hAnsi="Verdana"/>
          <w:sz w:val="22"/>
          <w:szCs w:val="24"/>
        </w:rPr>
        <w:t>banking services</w:t>
      </w:r>
    </w:p>
    <w:p w:rsidR="000C47EB" w:rsidRPr="005D762E" w:rsidRDefault="007562BC" w:rsidP="00EF59F9">
      <w:pPr>
        <w:numPr>
          <w:ilvl w:val="0"/>
          <w:numId w:val="24"/>
        </w:numPr>
        <w:spacing w:before="60" w:after="40"/>
        <w:rPr>
          <w:rFonts w:ascii="Verdana" w:hAnsi="Verdana"/>
          <w:sz w:val="22"/>
          <w:szCs w:val="24"/>
        </w:rPr>
      </w:pPr>
      <w:r w:rsidRPr="005D762E">
        <w:rPr>
          <w:rFonts w:ascii="Verdana" w:hAnsi="Verdana"/>
          <w:sz w:val="22"/>
          <w:szCs w:val="24"/>
        </w:rPr>
        <w:t>e-books</w:t>
      </w:r>
    </w:p>
    <w:p w:rsidR="000C47EB" w:rsidRPr="005D762E" w:rsidRDefault="007562BC" w:rsidP="00EF59F9">
      <w:pPr>
        <w:numPr>
          <w:ilvl w:val="0"/>
          <w:numId w:val="24"/>
        </w:numPr>
        <w:spacing w:before="60" w:after="40"/>
        <w:rPr>
          <w:rFonts w:ascii="Verdana" w:hAnsi="Verdana"/>
          <w:sz w:val="22"/>
          <w:szCs w:val="24"/>
        </w:rPr>
      </w:pPr>
      <w:r w:rsidRPr="005D762E">
        <w:rPr>
          <w:rFonts w:ascii="Verdana" w:hAnsi="Verdana"/>
          <w:sz w:val="22"/>
          <w:szCs w:val="24"/>
        </w:rPr>
        <w:t>e-commerce</w:t>
      </w:r>
    </w:p>
    <w:p w:rsidR="007365C4" w:rsidRDefault="007365C4" w:rsidP="007365C4">
      <w:pPr>
        <w:spacing w:after="200" w:line="276" w:lineRule="auto"/>
        <w:jc w:val="left"/>
        <w:rPr>
          <w:rFonts w:ascii="Verdana" w:hAnsi="Verdana"/>
          <w:szCs w:val="24"/>
        </w:rPr>
      </w:pPr>
    </w:p>
    <w:p w:rsidR="009521F9" w:rsidRPr="005D762E" w:rsidRDefault="009521F9" w:rsidP="007365C4">
      <w:pPr>
        <w:spacing w:after="200" w:line="276" w:lineRule="auto"/>
        <w:jc w:val="left"/>
        <w:rPr>
          <w:rFonts w:ascii="Verdana" w:eastAsiaTheme="majorEastAsia" w:hAnsi="Verdana"/>
          <w:b/>
          <w:bCs/>
          <w:szCs w:val="24"/>
        </w:rPr>
      </w:pPr>
      <w:r w:rsidRPr="007365C4">
        <w:rPr>
          <w:rFonts w:ascii="Verdana" w:eastAsiaTheme="majorEastAsia" w:hAnsi="Verdana"/>
          <w:b/>
          <w:bCs/>
          <w:szCs w:val="24"/>
        </w:rPr>
        <w:t xml:space="preserve">What </w:t>
      </w:r>
      <w:r w:rsidR="00021D06" w:rsidRPr="007365C4">
        <w:rPr>
          <w:rFonts w:ascii="Verdana" w:eastAsiaTheme="majorEastAsia" w:hAnsi="Verdana"/>
          <w:b/>
          <w:bCs/>
          <w:szCs w:val="24"/>
        </w:rPr>
        <w:t>will it do</w:t>
      </w:r>
      <w:r w:rsidR="00D927FB" w:rsidRPr="007365C4">
        <w:rPr>
          <w:rFonts w:ascii="Verdana" w:eastAsiaTheme="majorEastAsia" w:hAnsi="Verdana"/>
          <w:b/>
          <w:bCs/>
          <w:szCs w:val="24"/>
        </w:rPr>
        <w:t xml:space="preserve"> and what it will not do</w:t>
      </w:r>
      <w:r w:rsidR="006B106B" w:rsidRPr="007365C4">
        <w:rPr>
          <w:rFonts w:ascii="Verdana" w:eastAsiaTheme="majorEastAsia" w:hAnsi="Verdana"/>
          <w:b/>
          <w:bCs/>
          <w:szCs w:val="24"/>
        </w:rPr>
        <w:t>?</w:t>
      </w:r>
    </w:p>
    <w:p w:rsidR="002D67C2" w:rsidRDefault="002D67C2" w:rsidP="00EF59F9">
      <w:pPr>
        <w:spacing w:before="120" w:after="120"/>
        <w:rPr>
          <w:rFonts w:ascii="Verdana" w:eastAsia="Calibri" w:hAnsi="Verdana"/>
          <w:sz w:val="22"/>
          <w:szCs w:val="24"/>
          <w:lang w:val="en-US"/>
        </w:rPr>
      </w:pPr>
      <w:r w:rsidRPr="005D762E">
        <w:rPr>
          <w:rFonts w:ascii="Verdana" w:eastAsia="Calibri" w:hAnsi="Verdana"/>
          <w:sz w:val="22"/>
          <w:szCs w:val="24"/>
          <w:lang w:val="en-US"/>
        </w:rPr>
        <w:t xml:space="preserve">The Directive </w:t>
      </w:r>
      <w:r w:rsidR="00E77A39" w:rsidRPr="005D762E">
        <w:rPr>
          <w:rFonts w:ascii="Verdana" w:eastAsia="Calibri" w:hAnsi="Verdana"/>
          <w:sz w:val="22"/>
          <w:szCs w:val="24"/>
          <w:lang w:val="en-US"/>
        </w:rPr>
        <w:t>will</w:t>
      </w:r>
      <w:r w:rsidRPr="005D762E">
        <w:rPr>
          <w:rFonts w:ascii="Verdana" w:eastAsia="Calibri" w:hAnsi="Verdana"/>
          <w:sz w:val="22"/>
          <w:szCs w:val="24"/>
          <w:lang w:val="en-US"/>
        </w:rPr>
        <w:t xml:space="preserve"> tell "Wh</w:t>
      </w:r>
      <w:r w:rsidR="00E77A39" w:rsidRPr="005D762E">
        <w:rPr>
          <w:rFonts w:ascii="Verdana" w:eastAsia="Calibri" w:hAnsi="Verdana"/>
          <w:sz w:val="22"/>
          <w:szCs w:val="24"/>
          <w:lang w:val="en-US"/>
        </w:rPr>
        <w:t xml:space="preserve">at" needs to be accessible </w:t>
      </w:r>
      <w:r w:rsidR="007D755B" w:rsidRPr="005D762E">
        <w:rPr>
          <w:rFonts w:ascii="Verdana" w:eastAsia="Calibri" w:hAnsi="Verdana"/>
          <w:sz w:val="22"/>
          <w:szCs w:val="24"/>
          <w:lang w:val="en-US"/>
        </w:rPr>
        <w:t xml:space="preserve">in terms of functional requirements </w:t>
      </w:r>
      <w:r w:rsidR="00E77A39" w:rsidRPr="005D762E">
        <w:rPr>
          <w:rFonts w:ascii="Verdana" w:eastAsia="Calibri" w:hAnsi="Verdana"/>
          <w:sz w:val="22"/>
          <w:szCs w:val="24"/>
          <w:lang w:val="en-US"/>
        </w:rPr>
        <w:t xml:space="preserve">but will </w:t>
      </w:r>
      <w:r w:rsidRPr="005D762E">
        <w:rPr>
          <w:rFonts w:ascii="Verdana" w:eastAsia="Calibri" w:hAnsi="Verdana"/>
          <w:sz w:val="22"/>
          <w:szCs w:val="24"/>
          <w:lang w:val="en-US"/>
        </w:rPr>
        <w:t xml:space="preserve">not </w:t>
      </w:r>
      <w:r w:rsidR="007D755B" w:rsidRPr="005D762E">
        <w:rPr>
          <w:rFonts w:ascii="Verdana" w:eastAsia="Calibri" w:hAnsi="Verdana"/>
          <w:sz w:val="22"/>
          <w:szCs w:val="24"/>
          <w:lang w:val="en-US"/>
        </w:rPr>
        <w:t xml:space="preserve">impose detailed technical solutions </w:t>
      </w:r>
      <w:r w:rsidRPr="005D762E">
        <w:rPr>
          <w:rFonts w:ascii="Verdana" w:eastAsia="Calibri" w:hAnsi="Verdana"/>
          <w:sz w:val="22"/>
          <w:szCs w:val="24"/>
          <w:lang w:val="en-US"/>
        </w:rPr>
        <w:t>tell</w:t>
      </w:r>
      <w:r w:rsidR="007D755B" w:rsidRPr="005D762E">
        <w:rPr>
          <w:rFonts w:ascii="Verdana" w:eastAsia="Calibri" w:hAnsi="Verdana"/>
          <w:sz w:val="22"/>
          <w:szCs w:val="24"/>
          <w:lang w:val="en-US"/>
        </w:rPr>
        <w:t>ing</w:t>
      </w:r>
      <w:r w:rsidRPr="005D762E">
        <w:rPr>
          <w:rFonts w:ascii="Verdana" w:eastAsia="Calibri" w:hAnsi="Verdana"/>
          <w:sz w:val="22"/>
          <w:szCs w:val="24"/>
          <w:lang w:val="en-US"/>
        </w:rPr>
        <w:t xml:space="preserve"> "How" to make it accessible</w:t>
      </w:r>
      <w:r w:rsidR="00D25A4F" w:rsidRPr="005D762E">
        <w:rPr>
          <w:rFonts w:ascii="Verdana" w:eastAsia="Calibri" w:hAnsi="Verdana"/>
          <w:sz w:val="22"/>
          <w:szCs w:val="24"/>
          <w:lang w:val="en-US"/>
        </w:rPr>
        <w:t xml:space="preserve">, </w:t>
      </w:r>
      <w:r w:rsidR="007D755B" w:rsidRPr="005D762E">
        <w:rPr>
          <w:rFonts w:ascii="Verdana" w:eastAsia="Calibri" w:hAnsi="Verdana"/>
          <w:sz w:val="22"/>
          <w:szCs w:val="24"/>
          <w:lang w:val="en-US"/>
        </w:rPr>
        <w:t>allow</w:t>
      </w:r>
      <w:r w:rsidR="00D25A4F" w:rsidRPr="005D762E">
        <w:rPr>
          <w:rFonts w:ascii="Verdana" w:eastAsia="Calibri" w:hAnsi="Verdana"/>
          <w:sz w:val="22"/>
          <w:szCs w:val="24"/>
          <w:lang w:val="en-US"/>
        </w:rPr>
        <w:t>ing</w:t>
      </w:r>
      <w:r w:rsidR="007D755B" w:rsidRPr="005D762E">
        <w:rPr>
          <w:rFonts w:ascii="Verdana" w:eastAsia="Calibri" w:hAnsi="Verdana"/>
          <w:sz w:val="22"/>
          <w:szCs w:val="24"/>
          <w:lang w:val="en-US"/>
        </w:rPr>
        <w:t xml:space="preserve"> for innovation</w:t>
      </w:r>
      <w:r w:rsidRPr="005D762E">
        <w:rPr>
          <w:rFonts w:ascii="Verdana" w:eastAsia="Calibri" w:hAnsi="Verdana"/>
          <w:sz w:val="22"/>
          <w:szCs w:val="24"/>
          <w:lang w:val="en-US"/>
        </w:rPr>
        <w:t xml:space="preserve">. </w:t>
      </w:r>
    </w:p>
    <w:p w:rsidR="007365C4" w:rsidRDefault="007365C4">
      <w:pPr>
        <w:spacing w:after="200" w:line="276" w:lineRule="auto"/>
        <w:jc w:val="left"/>
        <w:rPr>
          <w:rFonts w:ascii="Verdana" w:eastAsia="Calibri" w:hAnsi="Verdana"/>
          <w:sz w:val="22"/>
          <w:szCs w:val="24"/>
          <w:lang w:val="en-US"/>
        </w:rPr>
      </w:pPr>
      <w:r>
        <w:rPr>
          <w:rFonts w:ascii="Verdana" w:eastAsia="Calibri" w:hAnsi="Verdana"/>
          <w:sz w:val="22"/>
          <w:szCs w:val="24"/>
          <w:lang w:val="en-US"/>
        </w:rPr>
        <w:br w:type="page"/>
      </w:r>
    </w:p>
    <w:p w:rsidR="000A7658" w:rsidRDefault="00B766BB" w:rsidP="000A7658">
      <w:pPr>
        <w:rPr>
          <w:sz w:val="22"/>
          <w:szCs w:val="24"/>
        </w:rPr>
      </w:pPr>
      <w:r>
        <w:rPr>
          <w:noProof/>
          <w:sz w:val="22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4A05C74" wp14:editId="17077FF9">
            <wp:simplePos x="0" y="0"/>
            <wp:positionH relativeFrom="column">
              <wp:posOffset>71755</wp:posOffset>
            </wp:positionH>
            <wp:positionV relativeFrom="paragraph">
              <wp:posOffset>360045</wp:posOffset>
            </wp:positionV>
            <wp:extent cx="720000" cy="720000"/>
            <wp:effectExtent l="0" t="0" r="4445" b="4445"/>
            <wp:wrapSquare wrapText="bothSides"/>
            <wp:docPr id="6" name="Picture 6" descr="The &quot;tick&quot; symbol indicates what needs to be accessible according to the Directive." title="A &quot;tick&quot;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658" w:rsidRPr="005D762E" w:rsidRDefault="000A7658" w:rsidP="000A7658">
      <w:pPr>
        <w:numPr>
          <w:ilvl w:val="0"/>
          <w:numId w:val="1"/>
        </w:numPr>
        <w:spacing w:after="200"/>
        <w:ind w:left="1800" w:hanging="1440"/>
        <w:jc w:val="left"/>
        <w:rPr>
          <w:rFonts w:ascii="Verdana" w:hAnsi="Verdana"/>
          <w:i/>
          <w:sz w:val="22"/>
          <w:szCs w:val="24"/>
        </w:rPr>
      </w:pPr>
      <w:r w:rsidRPr="005D762E">
        <w:rPr>
          <w:rFonts w:ascii="Verdana" w:hAnsi="Verdana"/>
          <w:b/>
          <w:i/>
          <w:sz w:val="22"/>
          <w:szCs w:val="24"/>
        </w:rPr>
        <w:t>uses a set of common accessibility requirements</w:t>
      </w:r>
      <w:r w:rsidRPr="005D762E">
        <w:rPr>
          <w:rFonts w:ascii="Verdana" w:hAnsi="Verdana"/>
          <w:i/>
          <w:sz w:val="22"/>
          <w:szCs w:val="24"/>
        </w:rPr>
        <w:t xml:space="preserve"> at EU level for a number of products and services</w:t>
      </w:r>
    </w:p>
    <w:p w:rsidR="000A7658" w:rsidRPr="005D762E" w:rsidRDefault="000A7658" w:rsidP="000A7658">
      <w:pPr>
        <w:numPr>
          <w:ilvl w:val="0"/>
          <w:numId w:val="1"/>
        </w:numPr>
        <w:spacing w:after="200"/>
        <w:ind w:left="1800" w:hanging="1440"/>
        <w:jc w:val="left"/>
        <w:rPr>
          <w:rFonts w:ascii="Verdana" w:hAnsi="Verdana"/>
          <w:i/>
          <w:sz w:val="22"/>
          <w:szCs w:val="24"/>
        </w:rPr>
      </w:pPr>
      <w:r w:rsidRPr="005D762E">
        <w:rPr>
          <w:rFonts w:ascii="Verdana" w:hAnsi="Verdana"/>
          <w:i/>
          <w:sz w:val="22"/>
          <w:szCs w:val="24"/>
        </w:rPr>
        <w:t xml:space="preserve">creates an </w:t>
      </w:r>
      <w:r w:rsidRPr="005D762E">
        <w:rPr>
          <w:rFonts w:ascii="Verdana" w:hAnsi="Verdana"/>
          <w:b/>
          <w:i/>
          <w:sz w:val="22"/>
          <w:szCs w:val="24"/>
        </w:rPr>
        <w:t>obligation for Member States</w:t>
      </w:r>
      <w:r w:rsidRPr="005D762E">
        <w:rPr>
          <w:rFonts w:ascii="Verdana" w:hAnsi="Verdana"/>
          <w:i/>
          <w:sz w:val="22"/>
          <w:szCs w:val="24"/>
        </w:rPr>
        <w:t xml:space="preserve"> to ensure that the selected products and services placed in the market after the transitional period comply with accessibility requirements</w:t>
      </w:r>
    </w:p>
    <w:p w:rsidR="000A7658" w:rsidRPr="005D762E" w:rsidRDefault="000A7658" w:rsidP="000A7658">
      <w:pPr>
        <w:numPr>
          <w:ilvl w:val="0"/>
          <w:numId w:val="1"/>
        </w:numPr>
        <w:ind w:left="1800" w:firstLine="32"/>
        <w:rPr>
          <w:rFonts w:ascii="Verdana" w:hAnsi="Verdana"/>
          <w:i/>
          <w:sz w:val="22"/>
          <w:szCs w:val="24"/>
        </w:rPr>
      </w:pPr>
      <w:r w:rsidRPr="005D762E">
        <w:rPr>
          <w:rFonts w:ascii="Verdana" w:hAnsi="Verdana"/>
          <w:b/>
          <w:i/>
          <w:sz w:val="22"/>
          <w:szCs w:val="24"/>
        </w:rPr>
        <w:t>uses the same accessibility requirements to define the</w:t>
      </w:r>
      <w:r w:rsidRPr="005D762E">
        <w:rPr>
          <w:rFonts w:ascii="Verdana" w:hAnsi="Verdana"/>
          <w:i/>
          <w:sz w:val="22"/>
          <w:szCs w:val="24"/>
        </w:rPr>
        <w:t xml:space="preserve"> </w:t>
      </w:r>
      <w:r w:rsidRPr="005D762E">
        <w:rPr>
          <w:rFonts w:ascii="Verdana" w:hAnsi="Verdana"/>
          <w:b/>
          <w:i/>
          <w:sz w:val="22"/>
          <w:szCs w:val="24"/>
        </w:rPr>
        <w:t>accessibility obligation laid down in existing EU law</w:t>
      </w:r>
      <w:r w:rsidRPr="005D762E">
        <w:rPr>
          <w:rFonts w:ascii="Verdana" w:hAnsi="Verdana"/>
          <w:i/>
          <w:sz w:val="22"/>
          <w:szCs w:val="24"/>
        </w:rPr>
        <w:t>, in particular in the areas of public procurement, Structural &amp; Investment Funds and transport</w:t>
      </w:r>
    </w:p>
    <w:p w:rsidR="000A7658" w:rsidRPr="005D762E" w:rsidRDefault="000A7658" w:rsidP="000A7658">
      <w:pPr>
        <w:numPr>
          <w:ilvl w:val="0"/>
          <w:numId w:val="1"/>
        </w:numPr>
        <w:spacing w:after="200"/>
        <w:ind w:left="1800" w:firstLine="32"/>
        <w:jc w:val="left"/>
        <w:rPr>
          <w:rFonts w:ascii="Verdana" w:hAnsi="Verdana"/>
          <w:i/>
          <w:sz w:val="22"/>
          <w:szCs w:val="24"/>
        </w:rPr>
      </w:pPr>
      <w:r w:rsidRPr="005D762E">
        <w:rPr>
          <w:rFonts w:ascii="Verdana" w:hAnsi="Verdana"/>
          <w:b/>
          <w:i/>
          <w:sz w:val="22"/>
          <w:szCs w:val="24"/>
        </w:rPr>
        <w:t xml:space="preserve">supports </w:t>
      </w:r>
      <w:r w:rsidRPr="005D762E">
        <w:rPr>
          <w:rFonts w:ascii="Verdana" w:hAnsi="Verdana"/>
          <w:i/>
          <w:sz w:val="22"/>
          <w:szCs w:val="24"/>
        </w:rPr>
        <w:t xml:space="preserve">Member States </w:t>
      </w:r>
      <w:r w:rsidRPr="005D762E">
        <w:rPr>
          <w:rFonts w:ascii="Verdana" w:hAnsi="Verdana"/>
          <w:b/>
          <w:i/>
          <w:sz w:val="22"/>
          <w:szCs w:val="24"/>
        </w:rPr>
        <w:t>implementation of the UN Convention</w:t>
      </w:r>
      <w:r w:rsidRPr="005D762E">
        <w:rPr>
          <w:rFonts w:ascii="Verdana" w:hAnsi="Verdana"/>
          <w:i/>
          <w:sz w:val="22"/>
          <w:szCs w:val="24"/>
        </w:rPr>
        <w:t xml:space="preserve"> on the Rights of Persons with Disabilities </w:t>
      </w:r>
    </w:p>
    <w:p w:rsidR="000A7658" w:rsidRPr="005D762E" w:rsidRDefault="000A7658" w:rsidP="000A7658">
      <w:pPr>
        <w:numPr>
          <w:ilvl w:val="0"/>
          <w:numId w:val="1"/>
        </w:numPr>
        <w:spacing w:after="200"/>
        <w:ind w:left="1800" w:firstLine="32"/>
        <w:jc w:val="left"/>
        <w:rPr>
          <w:rFonts w:ascii="Verdana" w:hAnsi="Verdana"/>
          <w:i/>
          <w:sz w:val="22"/>
          <w:szCs w:val="24"/>
        </w:rPr>
      </w:pPr>
      <w:r w:rsidRPr="005D762E">
        <w:rPr>
          <w:rFonts w:ascii="Verdana" w:hAnsi="Verdana"/>
          <w:i/>
          <w:sz w:val="22"/>
          <w:szCs w:val="24"/>
        </w:rPr>
        <w:t xml:space="preserve">ensures that all </w:t>
      </w:r>
      <w:r w:rsidRPr="005D762E">
        <w:rPr>
          <w:rFonts w:ascii="Verdana" w:hAnsi="Verdana"/>
          <w:b/>
          <w:i/>
          <w:sz w:val="22"/>
          <w:szCs w:val="24"/>
        </w:rPr>
        <w:t>products and services</w:t>
      </w:r>
      <w:r w:rsidRPr="005D762E">
        <w:rPr>
          <w:rFonts w:ascii="Verdana" w:hAnsi="Verdana"/>
          <w:i/>
          <w:sz w:val="22"/>
          <w:szCs w:val="24"/>
        </w:rPr>
        <w:t xml:space="preserve"> complying with accessibility requirements will </w:t>
      </w:r>
      <w:r w:rsidRPr="005D762E">
        <w:rPr>
          <w:rFonts w:ascii="Verdana" w:hAnsi="Verdana"/>
          <w:b/>
          <w:i/>
          <w:sz w:val="22"/>
          <w:szCs w:val="24"/>
        </w:rPr>
        <w:t>circulate freely in the internal market</w:t>
      </w:r>
      <w:r w:rsidRPr="005D762E">
        <w:rPr>
          <w:rFonts w:ascii="Verdana" w:hAnsi="Verdana"/>
          <w:i/>
          <w:sz w:val="22"/>
          <w:szCs w:val="24"/>
        </w:rPr>
        <w:t xml:space="preserve"> </w:t>
      </w:r>
    </w:p>
    <w:p w:rsidR="000A7658" w:rsidRPr="005D762E" w:rsidRDefault="004A4F51" w:rsidP="000A7658">
      <w:pPr>
        <w:spacing w:after="200"/>
        <w:ind w:left="720"/>
        <w:jc w:val="left"/>
        <w:rPr>
          <w:rFonts w:ascii="Verdana" w:hAnsi="Verdana"/>
          <w:i/>
          <w:szCs w:val="24"/>
        </w:rPr>
      </w:pPr>
      <w:r w:rsidRPr="005D762E">
        <w:rPr>
          <w:rFonts w:ascii="Verdana" w:hAnsi="Verdana"/>
          <w:noProof/>
          <w:sz w:val="22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5443C20" wp14:editId="25C35A50">
            <wp:simplePos x="0" y="0"/>
            <wp:positionH relativeFrom="column">
              <wp:posOffset>71755</wp:posOffset>
            </wp:positionH>
            <wp:positionV relativeFrom="paragraph">
              <wp:posOffset>360045</wp:posOffset>
            </wp:positionV>
            <wp:extent cx="720000" cy="720000"/>
            <wp:effectExtent l="0" t="0" r="4445" b="4445"/>
            <wp:wrapSquare wrapText="bothSides"/>
            <wp:docPr id="7" name="Picture 7" descr="The &quot;minus&quot; symbol indicates what will not be imposed according to the Directive." title="A &quot;minus&quot;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0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658" w:rsidRPr="005D762E" w:rsidRDefault="000A7658" w:rsidP="007365C4">
      <w:pPr>
        <w:numPr>
          <w:ilvl w:val="0"/>
          <w:numId w:val="1"/>
        </w:numPr>
        <w:spacing w:after="200"/>
        <w:ind w:left="1843" w:firstLine="0"/>
        <w:rPr>
          <w:rFonts w:ascii="Verdana" w:hAnsi="Verdana"/>
          <w:i/>
          <w:sz w:val="22"/>
          <w:szCs w:val="24"/>
        </w:rPr>
      </w:pPr>
      <w:proofErr w:type="gramStart"/>
      <w:r w:rsidRPr="005D762E">
        <w:rPr>
          <w:rFonts w:ascii="Verdana" w:hAnsi="Verdana"/>
          <w:b/>
          <w:i/>
          <w:sz w:val="22"/>
          <w:szCs w:val="24"/>
        </w:rPr>
        <w:t>does</w:t>
      </w:r>
      <w:proofErr w:type="gramEnd"/>
      <w:r w:rsidRPr="005D762E">
        <w:rPr>
          <w:rFonts w:ascii="Verdana" w:hAnsi="Verdana"/>
          <w:b/>
          <w:i/>
          <w:sz w:val="22"/>
          <w:szCs w:val="24"/>
        </w:rPr>
        <w:t xml:space="preserve"> not prescribe</w:t>
      </w:r>
      <w:r w:rsidRPr="005D762E">
        <w:rPr>
          <w:rFonts w:ascii="Verdana" w:hAnsi="Verdana"/>
          <w:i/>
          <w:sz w:val="22"/>
          <w:szCs w:val="24"/>
        </w:rPr>
        <w:t xml:space="preserve"> to the level of technical details how to render a product or service accessible. However, it  provides for the development of standards or technical implementing measures wherever more detail is needed</w:t>
      </w:r>
    </w:p>
    <w:p w:rsidR="000A7658" w:rsidRPr="005D762E" w:rsidRDefault="000A7658" w:rsidP="007365C4">
      <w:pPr>
        <w:numPr>
          <w:ilvl w:val="0"/>
          <w:numId w:val="1"/>
        </w:numPr>
        <w:spacing w:after="200"/>
        <w:ind w:left="1843" w:firstLine="0"/>
        <w:rPr>
          <w:rFonts w:ascii="Verdana" w:hAnsi="Verdana"/>
          <w:i/>
          <w:sz w:val="22"/>
          <w:szCs w:val="24"/>
        </w:rPr>
      </w:pPr>
      <w:r w:rsidRPr="005D762E">
        <w:rPr>
          <w:rFonts w:ascii="Verdana" w:hAnsi="Verdana"/>
          <w:b/>
          <w:i/>
          <w:sz w:val="22"/>
          <w:szCs w:val="24"/>
        </w:rPr>
        <w:t>does not set obligations</w:t>
      </w:r>
      <w:r w:rsidRPr="005D762E">
        <w:rPr>
          <w:rFonts w:ascii="Verdana" w:hAnsi="Verdana"/>
          <w:i/>
          <w:sz w:val="22"/>
          <w:szCs w:val="24"/>
        </w:rPr>
        <w:t xml:space="preserve"> for all manufacturers and service providers, but only for those working on a selected list of products and services</w:t>
      </w:r>
    </w:p>
    <w:p w:rsidR="000A7658" w:rsidRPr="005D762E" w:rsidRDefault="000A7658" w:rsidP="007365C4">
      <w:pPr>
        <w:numPr>
          <w:ilvl w:val="1"/>
          <w:numId w:val="1"/>
        </w:numPr>
        <w:tabs>
          <w:tab w:val="left" w:pos="2410"/>
        </w:tabs>
        <w:spacing w:after="200"/>
        <w:ind w:left="1843" w:firstLine="0"/>
        <w:rPr>
          <w:rFonts w:ascii="Verdana" w:hAnsi="Verdana"/>
          <w:i/>
          <w:sz w:val="22"/>
          <w:szCs w:val="24"/>
        </w:rPr>
      </w:pPr>
      <w:r w:rsidRPr="005D762E">
        <w:rPr>
          <w:rFonts w:ascii="Verdana" w:hAnsi="Verdana"/>
          <w:b/>
          <w:i/>
          <w:sz w:val="22"/>
          <w:szCs w:val="24"/>
        </w:rPr>
        <w:t xml:space="preserve">does not impose burdensome requirements </w:t>
      </w:r>
      <w:r w:rsidRPr="005D762E">
        <w:rPr>
          <w:rFonts w:ascii="Verdana" w:hAnsi="Verdana"/>
          <w:i/>
          <w:sz w:val="22"/>
          <w:szCs w:val="24"/>
        </w:rPr>
        <w:t>by providing safeguards on disproportionate burden and fundamental alteration</w:t>
      </w:r>
    </w:p>
    <w:p w:rsidR="000A7658" w:rsidRPr="005D762E" w:rsidRDefault="000A7658" w:rsidP="007365C4">
      <w:pPr>
        <w:numPr>
          <w:ilvl w:val="0"/>
          <w:numId w:val="1"/>
        </w:numPr>
        <w:tabs>
          <w:tab w:val="left" w:pos="2410"/>
        </w:tabs>
        <w:ind w:left="1843" w:firstLine="0"/>
        <w:rPr>
          <w:rFonts w:ascii="Verdana" w:hAnsi="Verdana"/>
          <w:i/>
          <w:sz w:val="22"/>
          <w:szCs w:val="24"/>
        </w:rPr>
      </w:pPr>
      <w:r w:rsidRPr="005D762E">
        <w:rPr>
          <w:rFonts w:ascii="Verdana" w:hAnsi="Verdana"/>
          <w:b/>
          <w:i/>
          <w:sz w:val="22"/>
          <w:szCs w:val="24"/>
        </w:rPr>
        <w:t>does not amend</w:t>
      </w:r>
      <w:r w:rsidRPr="005D762E">
        <w:rPr>
          <w:rFonts w:ascii="Verdana" w:hAnsi="Verdana"/>
          <w:i/>
          <w:sz w:val="22"/>
          <w:szCs w:val="24"/>
        </w:rPr>
        <w:t xml:space="preserve"> existing EU sectorial legislation on accessibility</w:t>
      </w:r>
    </w:p>
    <w:p w:rsidR="009521F9" w:rsidRPr="005D762E" w:rsidRDefault="00021D06" w:rsidP="00EF59F9">
      <w:pPr>
        <w:pStyle w:val="Heading2"/>
        <w:spacing w:before="240"/>
        <w:rPr>
          <w:rFonts w:ascii="Verdana" w:hAnsi="Verdana"/>
          <w:b w:val="0"/>
          <w:szCs w:val="24"/>
        </w:rPr>
      </w:pPr>
      <w:r w:rsidRPr="005D762E">
        <w:rPr>
          <w:rFonts w:ascii="Verdana" w:hAnsi="Verdana" w:cs="Times New Roman"/>
          <w:color w:val="auto"/>
          <w:sz w:val="24"/>
          <w:szCs w:val="24"/>
        </w:rPr>
        <w:t>What will be the</w:t>
      </w:r>
      <w:r w:rsidR="009521F9" w:rsidRPr="005D762E">
        <w:rPr>
          <w:rFonts w:ascii="Verdana" w:hAnsi="Verdana" w:cs="Times New Roman"/>
          <w:color w:val="auto"/>
          <w:sz w:val="24"/>
          <w:szCs w:val="24"/>
        </w:rPr>
        <w:t xml:space="preserve"> impact </w:t>
      </w:r>
      <w:r w:rsidR="00B06B7A" w:rsidRPr="005D762E">
        <w:rPr>
          <w:rFonts w:ascii="Verdana" w:hAnsi="Verdana" w:cs="Times New Roman"/>
          <w:color w:val="auto"/>
          <w:sz w:val="24"/>
          <w:szCs w:val="24"/>
        </w:rPr>
        <w:t>of the EAA</w:t>
      </w:r>
      <w:r w:rsidR="00203F7C" w:rsidRPr="005D762E">
        <w:rPr>
          <w:rFonts w:ascii="Verdana" w:hAnsi="Verdana" w:cs="Times New Roman"/>
          <w:color w:val="auto"/>
          <w:sz w:val="24"/>
          <w:szCs w:val="24"/>
        </w:rPr>
        <w:t>?</w:t>
      </w:r>
    </w:p>
    <w:p w:rsidR="00370E9A" w:rsidRPr="005D762E" w:rsidRDefault="00370E9A" w:rsidP="00EF59F9">
      <w:pPr>
        <w:pStyle w:val="Heading3"/>
        <w:spacing w:before="120" w:after="120"/>
        <w:rPr>
          <w:rFonts w:ascii="Verdana" w:hAnsi="Verdana"/>
          <w:i/>
          <w:sz w:val="22"/>
          <w:szCs w:val="22"/>
        </w:rPr>
      </w:pPr>
      <w:r w:rsidRPr="005D762E">
        <w:rPr>
          <w:rFonts w:ascii="Verdana" w:hAnsi="Verdana" w:cs="Times New Roman"/>
          <w:b w:val="0"/>
          <w:i/>
          <w:color w:val="auto"/>
          <w:sz w:val="22"/>
          <w:szCs w:val="22"/>
        </w:rPr>
        <w:t>For EU citizens</w:t>
      </w:r>
    </w:p>
    <w:p w:rsidR="00342C02" w:rsidRPr="00EF59F9" w:rsidRDefault="000638ED" w:rsidP="00EF59F9">
      <w:pPr>
        <w:spacing w:before="120" w:after="120"/>
        <w:rPr>
          <w:rFonts w:ascii="Verdana" w:hAnsi="Verdana"/>
          <w:sz w:val="22"/>
          <w:szCs w:val="22"/>
        </w:rPr>
      </w:pPr>
      <w:r w:rsidRPr="005D762E">
        <w:rPr>
          <w:rFonts w:ascii="Verdana" w:hAnsi="Verdana"/>
          <w:sz w:val="22"/>
          <w:szCs w:val="22"/>
        </w:rPr>
        <w:t xml:space="preserve">The EAA is a step forward in reducing barriers for </w:t>
      </w:r>
      <w:r w:rsidRPr="005D762E">
        <w:rPr>
          <w:rFonts w:ascii="Verdana" w:hAnsi="Verdana"/>
          <w:b/>
          <w:sz w:val="22"/>
          <w:szCs w:val="22"/>
        </w:rPr>
        <w:t>people with disabilities</w:t>
      </w:r>
      <w:r w:rsidRPr="005D762E">
        <w:rPr>
          <w:rFonts w:ascii="Verdana" w:hAnsi="Verdana"/>
          <w:sz w:val="22"/>
          <w:szCs w:val="22"/>
        </w:rPr>
        <w:t xml:space="preserve"> with</w:t>
      </w:r>
      <w:r w:rsidR="003359BA" w:rsidRPr="005D762E">
        <w:rPr>
          <w:rFonts w:ascii="Verdana" w:hAnsi="Verdana"/>
          <w:sz w:val="22"/>
          <w:szCs w:val="22"/>
        </w:rPr>
        <w:t>in</w:t>
      </w:r>
      <w:r w:rsidRPr="005D762E">
        <w:rPr>
          <w:rFonts w:ascii="Verdana" w:hAnsi="Verdana"/>
          <w:sz w:val="22"/>
          <w:szCs w:val="22"/>
        </w:rPr>
        <w:t xml:space="preserve"> the EU: better accessibility of products and services that citizens use</w:t>
      </w:r>
      <w:r w:rsidR="003A0FD7" w:rsidRPr="005D762E">
        <w:rPr>
          <w:rFonts w:ascii="Verdana" w:hAnsi="Verdana"/>
          <w:sz w:val="22"/>
          <w:szCs w:val="22"/>
        </w:rPr>
        <w:t xml:space="preserve"> every day, such as phones, transport or banking services</w:t>
      </w:r>
      <w:r w:rsidRPr="005D762E">
        <w:rPr>
          <w:rFonts w:ascii="Verdana" w:hAnsi="Verdana"/>
          <w:sz w:val="22"/>
          <w:szCs w:val="22"/>
        </w:rPr>
        <w:t xml:space="preserve">, will </w:t>
      </w:r>
      <w:r w:rsidR="00DD1A70" w:rsidRPr="005D762E">
        <w:rPr>
          <w:rFonts w:ascii="Verdana" w:hAnsi="Verdana"/>
          <w:sz w:val="22"/>
          <w:szCs w:val="22"/>
        </w:rPr>
        <w:t>help</w:t>
      </w:r>
      <w:r w:rsidRPr="005D762E">
        <w:rPr>
          <w:rFonts w:ascii="Verdana" w:hAnsi="Verdana"/>
          <w:sz w:val="22"/>
          <w:szCs w:val="22"/>
        </w:rPr>
        <w:t xml:space="preserve"> people with disabilities to </w:t>
      </w:r>
      <w:r w:rsidR="00DD1A70" w:rsidRPr="005D762E">
        <w:rPr>
          <w:rFonts w:ascii="Verdana" w:hAnsi="Verdana"/>
          <w:sz w:val="22"/>
          <w:szCs w:val="22"/>
        </w:rPr>
        <w:t xml:space="preserve">be able to </w:t>
      </w:r>
      <w:r w:rsidR="00342C02" w:rsidRPr="005D762E">
        <w:rPr>
          <w:rFonts w:ascii="Verdana" w:hAnsi="Verdana"/>
          <w:sz w:val="22"/>
          <w:szCs w:val="22"/>
        </w:rPr>
        <w:t>fully participate in society</w:t>
      </w:r>
      <w:r w:rsidR="007D755B" w:rsidRPr="005D762E">
        <w:rPr>
          <w:rFonts w:ascii="Verdana" w:hAnsi="Verdana"/>
          <w:sz w:val="22"/>
          <w:szCs w:val="22"/>
        </w:rPr>
        <w:t xml:space="preserve"> on </w:t>
      </w:r>
      <w:r w:rsidR="00AB2B3E" w:rsidRPr="005D762E">
        <w:rPr>
          <w:rFonts w:ascii="Verdana" w:hAnsi="Verdana"/>
          <w:sz w:val="22"/>
          <w:szCs w:val="22"/>
        </w:rPr>
        <w:t xml:space="preserve">an </w:t>
      </w:r>
      <w:r w:rsidR="007D755B" w:rsidRPr="005D762E">
        <w:rPr>
          <w:rFonts w:ascii="Verdana" w:hAnsi="Verdana"/>
          <w:sz w:val="22"/>
          <w:szCs w:val="22"/>
        </w:rPr>
        <w:t>equal basis with others</w:t>
      </w:r>
      <w:r w:rsidR="00342C02" w:rsidRPr="005D762E">
        <w:rPr>
          <w:rFonts w:ascii="Verdana" w:hAnsi="Verdana"/>
          <w:sz w:val="22"/>
          <w:szCs w:val="22"/>
        </w:rPr>
        <w:t xml:space="preserve">, to have better access to education and to enter more easily the open labour market. </w:t>
      </w:r>
      <w:r w:rsidR="00857403" w:rsidRPr="005D762E">
        <w:rPr>
          <w:rFonts w:ascii="Verdana" w:hAnsi="Verdana"/>
          <w:sz w:val="22"/>
          <w:szCs w:val="22"/>
        </w:rPr>
        <w:t xml:space="preserve">Accessibility is also necessary for </w:t>
      </w:r>
      <w:r w:rsidR="00857403" w:rsidRPr="005D762E">
        <w:rPr>
          <w:rFonts w:ascii="Verdana" w:hAnsi="Verdana"/>
          <w:b/>
          <w:sz w:val="22"/>
          <w:szCs w:val="22"/>
        </w:rPr>
        <w:t>older people</w:t>
      </w:r>
      <w:r w:rsidR="00857403" w:rsidRPr="005D762E">
        <w:rPr>
          <w:rFonts w:ascii="Verdana" w:hAnsi="Verdana"/>
          <w:sz w:val="22"/>
          <w:szCs w:val="22"/>
        </w:rPr>
        <w:t xml:space="preserve"> to maintain an active role in society</w:t>
      </w:r>
      <w:r w:rsidR="00025265" w:rsidRPr="005D762E">
        <w:rPr>
          <w:rFonts w:ascii="Verdana" w:hAnsi="Verdana"/>
          <w:sz w:val="22"/>
          <w:szCs w:val="22"/>
        </w:rPr>
        <w:t xml:space="preserve">, including extending their working lives. In general, </w:t>
      </w:r>
      <w:r w:rsidR="00025265" w:rsidRPr="005D762E">
        <w:rPr>
          <w:rFonts w:ascii="Verdana" w:hAnsi="Verdana"/>
          <w:b/>
          <w:sz w:val="22"/>
          <w:szCs w:val="22"/>
        </w:rPr>
        <w:t>a</w:t>
      </w:r>
      <w:r w:rsidR="00342C02" w:rsidRPr="005D762E">
        <w:rPr>
          <w:rFonts w:ascii="Verdana" w:hAnsi="Verdana"/>
          <w:b/>
          <w:sz w:val="22"/>
          <w:szCs w:val="22"/>
        </w:rPr>
        <w:t xml:space="preserve">ccessibility is beneficial to </w:t>
      </w:r>
      <w:r w:rsidR="00342C02" w:rsidRPr="005D762E">
        <w:rPr>
          <w:rFonts w:ascii="Verdana" w:hAnsi="Verdana"/>
          <w:b/>
          <w:sz w:val="22"/>
          <w:szCs w:val="22"/>
          <w:u w:val="single"/>
        </w:rPr>
        <w:t>all</w:t>
      </w:r>
      <w:r w:rsidR="00342C02" w:rsidRPr="005D762E">
        <w:rPr>
          <w:rFonts w:ascii="Verdana" w:hAnsi="Verdana"/>
          <w:b/>
          <w:sz w:val="22"/>
          <w:szCs w:val="22"/>
        </w:rPr>
        <w:t xml:space="preserve"> EU citizens</w:t>
      </w:r>
      <w:r w:rsidR="00342C02" w:rsidRPr="005D762E">
        <w:rPr>
          <w:rFonts w:ascii="Verdana" w:hAnsi="Verdana"/>
          <w:sz w:val="22"/>
          <w:szCs w:val="22"/>
        </w:rPr>
        <w:t xml:space="preserve">. </w:t>
      </w:r>
      <w:r w:rsidR="00342C02" w:rsidRPr="00EF59F9">
        <w:rPr>
          <w:rFonts w:ascii="Verdana" w:hAnsi="Verdana"/>
          <w:sz w:val="22"/>
          <w:szCs w:val="22"/>
        </w:rPr>
        <w:t xml:space="preserve">For example, </w:t>
      </w:r>
      <w:r w:rsidR="00F00211" w:rsidRPr="00EF59F9">
        <w:rPr>
          <w:rFonts w:ascii="Verdana" w:hAnsi="Verdana"/>
          <w:sz w:val="22"/>
          <w:szCs w:val="22"/>
        </w:rPr>
        <w:t>people trying to hear travelling information in noisy environments like</w:t>
      </w:r>
      <w:r w:rsidR="005A6F52" w:rsidRPr="00EF59F9">
        <w:rPr>
          <w:rFonts w:ascii="Verdana" w:hAnsi="Verdana"/>
          <w:sz w:val="22"/>
          <w:szCs w:val="22"/>
        </w:rPr>
        <w:t xml:space="preserve"> train</w:t>
      </w:r>
      <w:r w:rsidR="00F00211" w:rsidRPr="00EF59F9">
        <w:rPr>
          <w:rFonts w:ascii="Verdana" w:hAnsi="Verdana"/>
          <w:sz w:val="22"/>
          <w:szCs w:val="22"/>
        </w:rPr>
        <w:t xml:space="preserve"> stations</w:t>
      </w:r>
      <w:r w:rsidR="005A6F52" w:rsidRPr="00EF59F9">
        <w:rPr>
          <w:rFonts w:ascii="Verdana" w:hAnsi="Verdana"/>
          <w:sz w:val="22"/>
          <w:szCs w:val="22"/>
        </w:rPr>
        <w:t>,</w:t>
      </w:r>
      <w:r w:rsidR="00F00211" w:rsidRPr="00EF59F9">
        <w:rPr>
          <w:rFonts w:ascii="Verdana" w:hAnsi="Verdana"/>
          <w:sz w:val="22"/>
          <w:szCs w:val="22"/>
        </w:rPr>
        <w:t xml:space="preserve"> or trying to get money from ATMs </w:t>
      </w:r>
      <w:r w:rsidR="005A6F52" w:rsidRPr="00EF59F9">
        <w:rPr>
          <w:rFonts w:ascii="Verdana" w:hAnsi="Verdana"/>
          <w:sz w:val="22"/>
          <w:szCs w:val="22"/>
        </w:rPr>
        <w:t>o</w:t>
      </w:r>
      <w:r w:rsidR="00F00211" w:rsidRPr="00EF59F9">
        <w:rPr>
          <w:rFonts w:ascii="Verdana" w:hAnsi="Verdana"/>
          <w:sz w:val="22"/>
          <w:szCs w:val="22"/>
        </w:rPr>
        <w:t>n a sunny day</w:t>
      </w:r>
      <w:r w:rsidR="005A6F52" w:rsidRPr="00EF59F9">
        <w:rPr>
          <w:rFonts w:ascii="Verdana" w:hAnsi="Verdana"/>
          <w:sz w:val="22"/>
          <w:szCs w:val="22"/>
        </w:rPr>
        <w:t>,</w:t>
      </w:r>
      <w:r w:rsidR="00F00211" w:rsidRPr="00EF59F9">
        <w:rPr>
          <w:rFonts w:ascii="Verdana" w:hAnsi="Verdana"/>
          <w:sz w:val="22"/>
          <w:szCs w:val="22"/>
        </w:rPr>
        <w:t xml:space="preserve"> or employees working with enlarged documents</w:t>
      </w:r>
      <w:r w:rsidR="00342C02" w:rsidRPr="00EF59F9">
        <w:rPr>
          <w:rFonts w:ascii="Verdana" w:hAnsi="Verdana"/>
          <w:sz w:val="22"/>
          <w:szCs w:val="22"/>
        </w:rPr>
        <w:t xml:space="preserve"> </w:t>
      </w:r>
      <w:r w:rsidR="00B9734E" w:rsidRPr="00EF59F9">
        <w:rPr>
          <w:rFonts w:ascii="Verdana" w:hAnsi="Verdana"/>
          <w:sz w:val="22"/>
          <w:szCs w:val="22"/>
        </w:rPr>
        <w:t xml:space="preserve">to avoid eye strain </w:t>
      </w:r>
      <w:r w:rsidR="00342C02" w:rsidRPr="00EF59F9">
        <w:rPr>
          <w:rFonts w:ascii="Verdana" w:hAnsi="Verdana"/>
          <w:sz w:val="22"/>
          <w:szCs w:val="22"/>
        </w:rPr>
        <w:t>will also greatly ben</w:t>
      </w:r>
      <w:r w:rsidR="00025265" w:rsidRPr="00EF59F9">
        <w:rPr>
          <w:rFonts w:ascii="Verdana" w:hAnsi="Verdana"/>
          <w:sz w:val="22"/>
          <w:szCs w:val="22"/>
        </w:rPr>
        <w:t xml:space="preserve">efit from further accessibility. </w:t>
      </w:r>
    </w:p>
    <w:p w:rsidR="00D91599" w:rsidRDefault="00D91599">
      <w:pPr>
        <w:spacing w:after="200" w:line="276" w:lineRule="auto"/>
        <w:jc w:val="lef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370E9A" w:rsidRPr="00EF59F9" w:rsidRDefault="007618BF" w:rsidP="00EF59F9">
      <w:pPr>
        <w:pStyle w:val="Caption"/>
        <w:spacing w:before="120" w:after="120"/>
        <w:rPr>
          <w:rFonts w:ascii="Verdana" w:hAnsi="Verdana"/>
          <w:i/>
          <w:sz w:val="22"/>
          <w:szCs w:val="22"/>
        </w:rPr>
      </w:pPr>
      <w:r w:rsidRPr="00EF59F9">
        <w:rPr>
          <w:rFonts w:ascii="Verdana" w:hAnsi="Verdana"/>
          <w:color w:val="auto"/>
          <w:sz w:val="22"/>
          <w:szCs w:val="22"/>
        </w:rPr>
        <w:t xml:space="preserve">7 in 10 Europeans believe better accessibility of </w:t>
      </w:r>
      <w:r w:rsidR="00B9734E" w:rsidRPr="00EF59F9">
        <w:rPr>
          <w:rFonts w:ascii="Verdana" w:hAnsi="Verdana"/>
          <w:color w:val="auto"/>
          <w:sz w:val="22"/>
          <w:szCs w:val="22"/>
        </w:rPr>
        <w:t>products</w:t>
      </w:r>
      <w:r w:rsidRPr="00EF59F9">
        <w:rPr>
          <w:rFonts w:ascii="Verdana" w:hAnsi="Verdana"/>
          <w:color w:val="auto"/>
          <w:sz w:val="22"/>
          <w:szCs w:val="22"/>
        </w:rPr>
        <w:t xml:space="preserve"> and services would very much improve the lives of people with disabilities, the elderly and others with accessibility </w:t>
      </w:r>
      <w:r w:rsidR="00B9734E" w:rsidRPr="00EF59F9">
        <w:rPr>
          <w:rFonts w:ascii="Verdana" w:hAnsi="Verdana"/>
          <w:color w:val="auto"/>
          <w:sz w:val="22"/>
          <w:szCs w:val="22"/>
        </w:rPr>
        <w:t>needs</w:t>
      </w:r>
      <w:r w:rsidR="00372A7C" w:rsidRPr="00EF59F9">
        <w:rPr>
          <w:rFonts w:ascii="Verdana" w:hAnsi="Verdana"/>
          <w:color w:val="auto"/>
          <w:sz w:val="22"/>
          <w:szCs w:val="22"/>
        </w:rPr>
        <w:t>:</w:t>
      </w:r>
    </w:p>
    <w:p w:rsidR="00631104" w:rsidRDefault="00631104" w:rsidP="00C15322">
      <w:r>
        <w:rPr>
          <w:noProof/>
          <w:lang w:eastAsia="en-GB"/>
        </w:rPr>
        <w:drawing>
          <wp:inline distT="0" distB="0" distL="0" distR="0">
            <wp:extent cx="5760720" cy="2847340"/>
            <wp:effectExtent l="0" t="0" r="0" b="0"/>
            <wp:docPr id="10" name="Picture 10" descr="The graph shows that 7 in 10 Europeans believe better accessibility of products and services would very much improve the lives of people with disabilities, the elderly and others with accessibility needs." title="Descrption of a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322" w:rsidRPr="00EF59F9" w:rsidRDefault="00C15322" w:rsidP="00C15322">
      <w:pPr>
        <w:jc w:val="left"/>
        <w:rPr>
          <w:rFonts w:ascii="Verdana" w:eastAsia="SimSun" w:hAnsi="Verdana"/>
          <w:sz w:val="20"/>
          <w:lang w:eastAsia="zh-CN"/>
        </w:rPr>
      </w:pPr>
      <w:r w:rsidRPr="00EF59F9">
        <w:rPr>
          <w:rFonts w:ascii="Verdana" w:hAnsi="Verdana"/>
          <w:i/>
          <w:sz w:val="20"/>
        </w:rPr>
        <w:t>Source</w:t>
      </w:r>
      <w:r w:rsidRPr="00EF59F9">
        <w:rPr>
          <w:rFonts w:ascii="Verdana" w:hAnsi="Verdana"/>
          <w:sz w:val="20"/>
        </w:rPr>
        <w:t xml:space="preserve">: </w:t>
      </w:r>
      <w:hyperlink r:id="rId13" w:history="1">
        <w:r w:rsidRPr="00F62890">
          <w:rPr>
            <w:rStyle w:val="Hyperlink"/>
            <w:rFonts w:ascii="Verdana" w:eastAsia="SimSun" w:hAnsi="Verdana"/>
            <w:sz w:val="20"/>
            <w:lang w:eastAsia="zh-CN"/>
          </w:rPr>
          <w:t>Eurobarometer on Accessibility (2012)</w:t>
        </w:r>
      </w:hyperlink>
      <w:r w:rsidRPr="00EF59F9">
        <w:rPr>
          <w:rFonts w:ascii="Verdana" w:eastAsia="SimSun" w:hAnsi="Verdana"/>
          <w:sz w:val="20"/>
          <w:lang w:eastAsia="zh-CN"/>
        </w:rPr>
        <w:t xml:space="preserve">. </w:t>
      </w:r>
      <w:r w:rsidR="00EF59F9">
        <w:rPr>
          <w:rFonts w:ascii="Verdana" w:eastAsia="SimSun" w:hAnsi="Verdana"/>
          <w:sz w:val="20"/>
          <w:lang w:eastAsia="zh-CN"/>
        </w:rPr>
        <w:br/>
      </w:r>
      <w:r w:rsidR="000B72BD" w:rsidRPr="00EF59F9">
        <w:rPr>
          <w:rFonts w:ascii="Verdana" w:eastAsia="SimSun" w:hAnsi="Verdana"/>
          <w:sz w:val="20"/>
          <w:lang w:eastAsia="zh-CN"/>
        </w:rPr>
        <w:t>Croatia is not included as it was not an EU Member State at the time of the survey.</w:t>
      </w:r>
    </w:p>
    <w:p w:rsidR="00370E9A" w:rsidRPr="00EF59F9" w:rsidRDefault="00370E9A" w:rsidP="00EF59F9">
      <w:pPr>
        <w:pStyle w:val="Heading3"/>
        <w:spacing w:beforeLines="120" w:before="288" w:afterLines="120" w:after="288"/>
        <w:rPr>
          <w:rFonts w:ascii="Verdana" w:hAnsi="Verdana"/>
          <w:i/>
          <w:sz w:val="22"/>
          <w:szCs w:val="22"/>
        </w:rPr>
      </w:pPr>
      <w:r w:rsidRPr="00EF59F9">
        <w:rPr>
          <w:rFonts w:ascii="Verdana" w:hAnsi="Verdana" w:cs="Times New Roman"/>
          <w:b w:val="0"/>
          <w:i/>
          <w:color w:val="auto"/>
          <w:sz w:val="22"/>
          <w:szCs w:val="22"/>
        </w:rPr>
        <w:t>For businesses</w:t>
      </w:r>
    </w:p>
    <w:p w:rsidR="0076360A" w:rsidRPr="00EF59F9" w:rsidRDefault="00370E9A" w:rsidP="00EF59F9">
      <w:pPr>
        <w:spacing w:beforeLines="120" w:before="288" w:afterLines="120" w:after="288"/>
        <w:rPr>
          <w:rFonts w:ascii="Verdana" w:hAnsi="Verdana"/>
          <w:sz w:val="22"/>
          <w:szCs w:val="24"/>
        </w:rPr>
      </w:pPr>
      <w:r w:rsidRPr="00EF59F9">
        <w:rPr>
          <w:rFonts w:ascii="Verdana" w:hAnsi="Verdana"/>
          <w:b/>
          <w:sz w:val="22"/>
          <w:szCs w:val="22"/>
        </w:rPr>
        <w:t>Businesses</w:t>
      </w:r>
      <w:r w:rsidRPr="00EF59F9">
        <w:rPr>
          <w:rFonts w:ascii="Verdana" w:hAnsi="Verdana"/>
          <w:sz w:val="22"/>
          <w:szCs w:val="22"/>
        </w:rPr>
        <w:t xml:space="preserve"> – and in particular </w:t>
      </w:r>
      <w:r w:rsidRPr="00EF59F9">
        <w:rPr>
          <w:rFonts w:ascii="Verdana" w:hAnsi="Verdana"/>
          <w:b/>
          <w:sz w:val="22"/>
          <w:szCs w:val="22"/>
        </w:rPr>
        <w:t>SMEs</w:t>
      </w:r>
      <w:r w:rsidR="00C9774F" w:rsidRPr="00EF59F9">
        <w:rPr>
          <w:rFonts w:ascii="Verdana" w:hAnsi="Verdana"/>
          <w:b/>
          <w:sz w:val="22"/>
          <w:szCs w:val="22"/>
        </w:rPr>
        <w:t xml:space="preserve"> -</w:t>
      </w:r>
      <w:r w:rsidRPr="00EF59F9">
        <w:rPr>
          <w:rFonts w:ascii="Verdana" w:hAnsi="Verdana"/>
          <w:sz w:val="22"/>
          <w:szCs w:val="22"/>
        </w:rPr>
        <w:t xml:space="preserve"> </w:t>
      </w:r>
      <w:r w:rsidRPr="00EF59F9">
        <w:rPr>
          <w:rFonts w:ascii="Verdana" w:hAnsi="Verdana"/>
          <w:b/>
          <w:sz w:val="22"/>
          <w:szCs w:val="22"/>
        </w:rPr>
        <w:t xml:space="preserve">will benefit from the elimination of </w:t>
      </w:r>
      <w:r w:rsidR="00B9734E" w:rsidRPr="00EF59F9">
        <w:rPr>
          <w:rFonts w:ascii="Verdana" w:hAnsi="Verdana"/>
          <w:b/>
          <w:sz w:val="22"/>
          <w:szCs w:val="22"/>
        </w:rPr>
        <w:t xml:space="preserve">barriers caused by </w:t>
      </w:r>
      <w:r w:rsidRPr="00EF59F9">
        <w:rPr>
          <w:rFonts w:ascii="Verdana" w:hAnsi="Verdana"/>
          <w:b/>
          <w:sz w:val="22"/>
          <w:szCs w:val="22"/>
        </w:rPr>
        <w:t>a fragmented</w:t>
      </w:r>
      <w:r w:rsidR="0076360A" w:rsidRPr="00EF59F9">
        <w:rPr>
          <w:rFonts w:ascii="Verdana" w:hAnsi="Verdana"/>
          <w:b/>
          <w:sz w:val="22"/>
          <w:szCs w:val="22"/>
        </w:rPr>
        <w:t xml:space="preserve"> market</w:t>
      </w:r>
      <w:r w:rsidRPr="00EF59F9">
        <w:rPr>
          <w:rFonts w:ascii="Verdana" w:hAnsi="Verdana"/>
          <w:b/>
          <w:sz w:val="22"/>
          <w:szCs w:val="22"/>
        </w:rPr>
        <w:t xml:space="preserve"> </w:t>
      </w:r>
      <w:r w:rsidR="00C9774F" w:rsidRPr="00EF59F9">
        <w:rPr>
          <w:rFonts w:ascii="Verdana" w:hAnsi="Verdana"/>
          <w:b/>
          <w:sz w:val="22"/>
          <w:szCs w:val="22"/>
        </w:rPr>
        <w:t>thanks to the</w:t>
      </w:r>
      <w:r w:rsidRPr="00EF59F9">
        <w:rPr>
          <w:rFonts w:ascii="Verdana" w:hAnsi="Verdana"/>
          <w:b/>
          <w:sz w:val="22"/>
          <w:szCs w:val="22"/>
        </w:rPr>
        <w:t xml:space="preserve"> creation of a single set of requirements</w:t>
      </w:r>
      <w:r w:rsidR="00C9774F" w:rsidRPr="00EF59F9">
        <w:rPr>
          <w:rFonts w:ascii="Verdana" w:hAnsi="Verdana"/>
          <w:b/>
          <w:sz w:val="22"/>
          <w:szCs w:val="22"/>
        </w:rPr>
        <w:t>. C</w:t>
      </w:r>
      <w:r w:rsidR="0076360A" w:rsidRPr="00EF59F9">
        <w:rPr>
          <w:rFonts w:ascii="Verdana" w:hAnsi="Verdana"/>
          <w:b/>
          <w:sz w:val="22"/>
          <w:szCs w:val="22"/>
        </w:rPr>
        <w:t>ross-border trade</w:t>
      </w:r>
      <w:r w:rsidR="00C9774F" w:rsidRPr="00EF59F9">
        <w:rPr>
          <w:rFonts w:ascii="Verdana" w:hAnsi="Verdana"/>
          <w:b/>
          <w:sz w:val="22"/>
          <w:szCs w:val="22"/>
        </w:rPr>
        <w:t xml:space="preserve"> will </w:t>
      </w:r>
      <w:r w:rsidR="00DD1A70" w:rsidRPr="00EF59F9">
        <w:rPr>
          <w:rFonts w:ascii="Verdana" w:hAnsi="Verdana"/>
          <w:b/>
          <w:sz w:val="22"/>
          <w:szCs w:val="22"/>
        </w:rPr>
        <w:t xml:space="preserve">thus </w:t>
      </w:r>
      <w:r w:rsidR="00C9774F" w:rsidRPr="00EF59F9">
        <w:rPr>
          <w:rFonts w:ascii="Verdana" w:hAnsi="Verdana"/>
          <w:b/>
          <w:sz w:val="22"/>
          <w:szCs w:val="22"/>
        </w:rPr>
        <w:t>be easier for them</w:t>
      </w:r>
      <w:r w:rsidR="00B3033A" w:rsidRPr="00EF59F9">
        <w:rPr>
          <w:rFonts w:ascii="Verdana" w:hAnsi="Verdana"/>
          <w:sz w:val="22"/>
          <w:szCs w:val="22"/>
        </w:rPr>
        <w:t xml:space="preserve">. </w:t>
      </w:r>
      <w:r w:rsidR="00C9774F" w:rsidRPr="00EF59F9">
        <w:rPr>
          <w:rFonts w:ascii="Verdana" w:hAnsi="Verdana"/>
          <w:sz w:val="22"/>
          <w:szCs w:val="22"/>
        </w:rPr>
        <w:t xml:space="preserve">The </w:t>
      </w:r>
      <w:r w:rsidR="003420B8" w:rsidRPr="00EF59F9">
        <w:rPr>
          <w:rFonts w:ascii="Verdana" w:hAnsi="Verdana"/>
          <w:sz w:val="22"/>
          <w:szCs w:val="22"/>
        </w:rPr>
        <w:t>market costs</w:t>
      </w:r>
      <w:r w:rsidR="00C9774F" w:rsidRPr="00EF59F9">
        <w:rPr>
          <w:rFonts w:ascii="Verdana" w:hAnsi="Verdana"/>
          <w:sz w:val="22"/>
          <w:szCs w:val="22"/>
        </w:rPr>
        <w:t xml:space="preserve"> for companies and Member States </w:t>
      </w:r>
      <w:r w:rsidR="001942D2" w:rsidRPr="00EF59F9">
        <w:rPr>
          <w:rFonts w:ascii="Verdana" w:hAnsi="Verdana"/>
          <w:sz w:val="22"/>
          <w:szCs w:val="22"/>
        </w:rPr>
        <w:t xml:space="preserve">due to divergent requirements </w:t>
      </w:r>
      <w:r w:rsidR="00C9774F" w:rsidRPr="00EF59F9">
        <w:rPr>
          <w:rFonts w:ascii="Verdana" w:hAnsi="Verdana"/>
          <w:sz w:val="22"/>
          <w:szCs w:val="22"/>
        </w:rPr>
        <w:t>are</w:t>
      </w:r>
      <w:r w:rsidR="00B9734E" w:rsidRPr="00EF59F9">
        <w:rPr>
          <w:rFonts w:ascii="Verdana" w:hAnsi="Verdana"/>
          <w:sz w:val="22"/>
          <w:szCs w:val="22"/>
        </w:rPr>
        <w:t xml:space="preserve"> estimated at € </w:t>
      </w:r>
      <w:r w:rsidR="00CD1685" w:rsidRPr="00EF59F9">
        <w:rPr>
          <w:rFonts w:ascii="Verdana" w:hAnsi="Verdana"/>
          <w:sz w:val="22"/>
          <w:szCs w:val="22"/>
        </w:rPr>
        <w:t xml:space="preserve">20 billion </w:t>
      </w:r>
      <w:r w:rsidR="00B9734E" w:rsidRPr="00EF59F9">
        <w:rPr>
          <w:rFonts w:ascii="Verdana" w:hAnsi="Verdana"/>
          <w:sz w:val="22"/>
          <w:szCs w:val="22"/>
        </w:rPr>
        <w:t>in 2020</w:t>
      </w:r>
      <w:r w:rsidR="00C9774F" w:rsidRPr="00EF59F9">
        <w:rPr>
          <w:rFonts w:ascii="Verdana" w:hAnsi="Verdana"/>
          <w:sz w:val="22"/>
          <w:szCs w:val="22"/>
        </w:rPr>
        <w:t xml:space="preserve">. The proposed EU action is estimated to reduce it </w:t>
      </w:r>
      <w:r w:rsidR="003420B8" w:rsidRPr="00EF59F9">
        <w:rPr>
          <w:rFonts w:ascii="Verdana" w:hAnsi="Verdana"/>
          <w:b/>
          <w:sz w:val="22"/>
          <w:szCs w:val="22"/>
        </w:rPr>
        <w:t>by 45% to 50%</w:t>
      </w:r>
      <w:r w:rsidR="00B9734E" w:rsidRPr="00EF59F9">
        <w:rPr>
          <w:rFonts w:ascii="Verdana" w:hAnsi="Verdana"/>
          <w:sz w:val="22"/>
          <w:szCs w:val="22"/>
        </w:rPr>
        <w:t>.</w:t>
      </w:r>
      <w:r w:rsidR="008715E6" w:rsidRPr="00EF59F9">
        <w:rPr>
          <w:rFonts w:ascii="Verdana" w:hAnsi="Verdana"/>
          <w:sz w:val="22"/>
          <w:szCs w:val="22"/>
        </w:rPr>
        <w:t xml:space="preserve"> </w:t>
      </w:r>
      <w:r w:rsidR="00B9734E" w:rsidRPr="00EF59F9">
        <w:rPr>
          <w:rFonts w:ascii="Verdana" w:hAnsi="Verdana"/>
          <w:sz w:val="22"/>
          <w:szCs w:val="22"/>
        </w:rPr>
        <w:t>T</w:t>
      </w:r>
      <w:r w:rsidR="008715E6" w:rsidRPr="00EF59F9">
        <w:rPr>
          <w:rFonts w:ascii="Verdana" w:hAnsi="Verdana"/>
          <w:sz w:val="22"/>
          <w:szCs w:val="22"/>
        </w:rPr>
        <w:t xml:space="preserve">he extra production costs introduced with the EAA </w:t>
      </w:r>
      <w:r w:rsidR="00205306" w:rsidRPr="00EF59F9">
        <w:rPr>
          <w:rFonts w:ascii="Verdana" w:hAnsi="Verdana"/>
          <w:sz w:val="22"/>
          <w:szCs w:val="22"/>
        </w:rPr>
        <w:t xml:space="preserve">will be very low or even non-existent. </w:t>
      </w:r>
      <w:r w:rsidR="00905B25" w:rsidRPr="00EF59F9">
        <w:rPr>
          <w:rFonts w:ascii="Verdana" w:hAnsi="Verdana"/>
          <w:sz w:val="22"/>
          <w:szCs w:val="22"/>
        </w:rPr>
        <w:t xml:space="preserve"> </w:t>
      </w:r>
      <w:r w:rsidR="00B9734E" w:rsidRPr="00EF59F9">
        <w:rPr>
          <w:rFonts w:ascii="Verdana" w:hAnsi="Verdana"/>
          <w:sz w:val="22"/>
          <w:szCs w:val="22"/>
        </w:rPr>
        <w:t xml:space="preserve">The </w:t>
      </w:r>
      <w:r w:rsidR="00905B25" w:rsidRPr="00EF59F9">
        <w:rPr>
          <w:rFonts w:ascii="Verdana" w:hAnsi="Verdana"/>
          <w:sz w:val="22"/>
          <w:szCs w:val="22"/>
        </w:rPr>
        <w:t>potential benefits are expected to be</w:t>
      </w:r>
      <w:r w:rsidR="00905B25" w:rsidRPr="00EF59F9">
        <w:rPr>
          <w:rFonts w:ascii="Verdana" w:hAnsi="Verdana"/>
          <w:b/>
          <w:sz w:val="22"/>
          <w:szCs w:val="22"/>
        </w:rPr>
        <w:t xml:space="preserve"> </w:t>
      </w:r>
      <w:r w:rsidR="00905B25" w:rsidRPr="00EF59F9">
        <w:rPr>
          <w:rFonts w:ascii="Verdana" w:hAnsi="Verdana"/>
          <w:sz w:val="22"/>
          <w:szCs w:val="24"/>
        </w:rPr>
        <w:t xml:space="preserve">higher than </w:t>
      </w:r>
      <w:r w:rsidR="00B9734E" w:rsidRPr="00EF59F9">
        <w:rPr>
          <w:rFonts w:ascii="Verdana" w:hAnsi="Verdana"/>
          <w:sz w:val="22"/>
          <w:szCs w:val="24"/>
        </w:rPr>
        <w:t xml:space="preserve">the </w:t>
      </w:r>
      <w:r w:rsidR="00905B25" w:rsidRPr="00EF59F9">
        <w:rPr>
          <w:rFonts w:ascii="Verdana" w:hAnsi="Verdana"/>
          <w:sz w:val="22"/>
          <w:szCs w:val="24"/>
        </w:rPr>
        <w:t xml:space="preserve">potential accessibility-related costs for </w:t>
      </w:r>
      <w:r w:rsidR="00905B25" w:rsidRPr="00EF59F9">
        <w:rPr>
          <w:rFonts w:ascii="Verdana" w:hAnsi="Verdana"/>
          <w:b/>
          <w:sz w:val="22"/>
          <w:szCs w:val="24"/>
        </w:rPr>
        <w:t xml:space="preserve">all </w:t>
      </w:r>
      <w:r w:rsidR="00905B25" w:rsidRPr="00EF59F9">
        <w:rPr>
          <w:rFonts w:ascii="Verdana" w:hAnsi="Verdana"/>
          <w:sz w:val="22"/>
          <w:szCs w:val="24"/>
        </w:rPr>
        <w:t>economic operators.</w:t>
      </w:r>
    </w:p>
    <w:p w:rsidR="00D91599" w:rsidRDefault="00D91599">
      <w:pPr>
        <w:spacing w:after="200" w:line="276" w:lineRule="auto"/>
        <w:jc w:val="lef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372A7C" w:rsidRPr="00EF59F9" w:rsidRDefault="00372A7C" w:rsidP="00EF59F9">
      <w:pPr>
        <w:pStyle w:val="Caption"/>
        <w:spacing w:beforeLines="120" w:before="288" w:afterLines="120" w:after="288"/>
        <w:rPr>
          <w:rFonts w:ascii="Verdana" w:hAnsi="Verdana"/>
          <w:b w:val="0"/>
          <w:sz w:val="22"/>
          <w:szCs w:val="22"/>
        </w:rPr>
      </w:pPr>
      <w:r w:rsidRPr="00EF59F9">
        <w:rPr>
          <w:rFonts w:ascii="Verdana" w:hAnsi="Verdana"/>
          <w:color w:val="auto"/>
          <w:sz w:val="22"/>
          <w:szCs w:val="22"/>
        </w:rPr>
        <w:t xml:space="preserve">SMEs are generally favourable to the introduction of EU-level accessibility </w:t>
      </w:r>
      <w:r w:rsidR="00A40D39" w:rsidRPr="00EF59F9">
        <w:rPr>
          <w:rFonts w:ascii="Verdana" w:hAnsi="Verdana"/>
          <w:color w:val="auto"/>
          <w:sz w:val="22"/>
          <w:szCs w:val="22"/>
        </w:rPr>
        <w:t>requirements:</w:t>
      </w:r>
    </w:p>
    <w:p w:rsidR="00F534E7" w:rsidRDefault="00F534E7" w:rsidP="008D25F4">
      <w:pPr>
        <w:jc w:val="center"/>
        <w:rPr>
          <w:sz w:val="22"/>
          <w:szCs w:val="24"/>
        </w:rPr>
      </w:pPr>
    </w:p>
    <w:p w:rsidR="00684874" w:rsidRDefault="00684874" w:rsidP="008D25F4">
      <w:pPr>
        <w:jc w:val="center"/>
        <w:rPr>
          <w:sz w:val="22"/>
          <w:szCs w:val="24"/>
        </w:rPr>
      </w:pPr>
      <w:r>
        <w:rPr>
          <w:noProof/>
          <w:sz w:val="22"/>
          <w:szCs w:val="24"/>
          <w:lang w:eastAsia="en-GB"/>
        </w:rPr>
        <w:drawing>
          <wp:inline distT="0" distB="0" distL="0" distR="0">
            <wp:extent cx="5745492" cy="2630429"/>
            <wp:effectExtent l="0" t="0" r="7620" b="0"/>
            <wp:docPr id="11" name="Picture 11" descr="The graph shows that SMEs are generally favourable to the introduction of EU-level accessibility requirements." title="Description of a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92" cy="2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E7" w:rsidRPr="00EF59F9" w:rsidRDefault="00C15322" w:rsidP="00EF59F9">
      <w:pPr>
        <w:spacing w:before="120" w:after="120"/>
        <w:rPr>
          <w:rFonts w:ascii="Verdana" w:hAnsi="Verdana"/>
          <w:i/>
          <w:sz w:val="20"/>
          <w:szCs w:val="24"/>
        </w:rPr>
      </w:pPr>
      <w:r w:rsidRPr="00EF59F9">
        <w:rPr>
          <w:rFonts w:ascii="Verdana" w:hAnsi="Verdana"/>
          <w:i/>
          <w:sz w:val="20"/>
          <w:szCs w:val="24"/>
        </w:rPr>
        <w:t xml:space="preserve">Source: </w:t>
      </w:r>
      <w:r w:rsidR="00A40D39" w:rsidRPr="00EF59F9">
        <w:rPr>
          <w:rFonts w:ascii="Verdana" w:hAnsi="Verdana"/>
          <w:i/>
          <w:sz w:val="20"/>
          <w:szCs w:val="24"/>
        </w:rPr>
        <w:t>SME Panel conducted by Enterprise Europe Network</w:t>
      </w:r>
    </w:p>
    <w:p w:rsidR="0033676A" w:rsidRPr="00EF59F9" w:rsidRDefault="00A0322F" w:rsidP="00EF59F9">
      <w:pPr>
        <w:pStyle w:val="Caption"/>
        <w:spacing w:before="120" w:after="120"/>
        <w:rPr>
          <w:rFonts w:ascii="Verdana" w:hAnsi="Verdana"/>
          <w:b w:val="0"/>
          <w:sz w:val="22"/>
          <w:szCs w:val="22"/>
        </w:rPr>
      </w:pPr>
      <w:r w:rsidRPr="00EF59F9">
        <w:rPr>
          <w:rFonts w:ascii="Verdana" w:hAnsi="Verdana"/>
          <w:color w:val="auto"/>
          <w:sz w:val="22"/>
          <w:szCs w:val="22"/>
        </w:rPr>
        <w:t>78% of Europeans think that having common rules on accessibility in the EU will make it easier for companies to operate in another EU country:</w:t>
      </w:r>
      <w:r w:rsidR="0033676A" w:rsidRPr="00EF59F9">
        <w:rPr>
          <w:rFonts w:ascii="Verdana" w:hAnsi="Verdana"/>
          <w:color w:val="auto"/>
          <w:sz w:val="22"/>
          <w:szCs w:val="22"/>
          <w:u w:val="single"/>
        </w:rPr>
        <w:t xml:space="preserve"> </w:t>
      </w:r>
    </w:p>
    <w:p w:rsidR="00F534E7" w:rsidRDefault="00684874" w:rsidP="008D25F4">
      <w:pPr>
        <w:jc w:val="center"/>
        <w:rPr>
          <w:sz w:val="22"/>
          <w:szCs w:val="24"/>
        </w:rPr>
      </w:pPr>
      <w:r>
        <w:rPr>
          <w:noProof/>
          <w:sz w:val="22"/>
          <w:szCs w:val="24"/>
          <w:lang w:eastAsia="en-GB"/>
        </w:rPr>
        <w:drawing>
          <wp:inline distT="0" distB="0" distL="0" distR="0">
            <wp:extent cx="5510795" cy="3895352"/>
            <wp:effectExtent l="0" t="0" r="0" b="0"/>
            <wp:docPr id="13" name="Picture 13" descr="The pie chart shows taht 78% of Europeans think that having common rules on accessibility in the EU will make it easier for companies to operate in another EU country." title="Description of a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0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795" cy="389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3E" w:rsidRPr="00EF59F9" w:rsidRDefault="0033676A" w:rsidP="00DA31B7">
      <w:pPr>
        <w:jc w:val="left"/>
        <w:rPr>
          <w:rFonts w:ascii="Verdana" w:eastAsia="SimSun" w:hAnsi="Verdana"/>
          <w:sz w:val="20"/>
          <w:lang w:eastAsia="zh-CN"/>
        </w:rPr>
      </w:pPr>
      <w:r w:rsidRPr="00EF59F9">
        <w:rPr>
          <w:rFonts w:ascii="Verdana" w:hAnsi="Verdana"/>
          <w:i/>
          <w:sz w:val="20"/>
        </w:rPr>
        <w:t>Source</w:t>
      </w:r>
      <w:r w:rsidRPr="00EF59F9">
        <w:rPr>
          <w:rFonts w:ascii="Verdana" w:hAnsi="Verdana"/>
          <w:sz w:val="20"/>
        </w:rPr>
        <w:t xml:space="preserve">: </w:t>
      </w:r>
      <w:hyperlink r:id="rId16" w:history="1">
        <w:r w:rsidRPr="00F62890">
          <w:rPr>
            <w:rStyle w:val="Hyperlink"/>
            <w:rFonts w:ascii="Verdana" w:eastAsia="SimSun" w:hAnsi="Verdana"/>
            <w:sz w:val="20"/>
            <w:lang w:eastAsia="zh-CN"/>
          </w:rPr>
          <w:t>Eurobarometer on Accessibility (2012)</w:t>
        </w:r>
      </w:hyperlink>
      <w:r w:rsidRPr="00EF59F9">
        <w:rPr>
          <w:rFonts w:ascii="Verdana" w:eastAsia="SimSun" w:hAnsi="Verdana"/>
          <w:sz w:val="20"/>
          <w:lang w:eastAsia="zh-CN"/>
        </w:rPr>
        <w:t>.</w:t>
      </w:r>
      <w:r w:rsidR="00C15322" w:rsidRPr="00EF59F9">
        <w:rPr>
          <w:rFonts w:ascii="Verdana" w:eastAsia="SimSun" w:hAnsi="Verdana"/>
          <w:sz w:val="20"/>
          <w:lang w:eastAsia="zh-CN"/>
        </w:rPr>
        <w:t xml:space="preserve"> </w:t>
      </w:r>
      <w:bookmarkStart w:id="0" w:name="_GoBack"/>
      <w:bookmarkEnd w:id="0"/>
    </w:p>
    <w:sectPr w:rsidR="00DF213E" w:rsidRPr="00EF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FA" w:rsidRDefault="00851CFA" w:rsidP="004528F4">
      <w:pPr>
        <w:spacing w:after="0"/>
      </w:pPr>
      <w:r>
        <w:separator/>
      </w:r>
    </w:p>
  </w:endnote>
  <w:endnote w:type="continuationSeparator" w:id="0">
    <w:p w:rsidR="00851CFA" w:rsidRDefault="00851CFA" w:rsidP="00452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FA" w:rsidRDefault="00851CFA" w:rsidP="004528F4">
      <w:pPr>
        <w:spacing w:after="0"/>
      </w:pPr>
      <w:r>
        <w:separator/>
      </w:r>
    </w:p>
  </w:footnote>
  <w:footnote w:type="continuationSeparator" w:id="0">
    <w:p w:rsidR="00851CFA" w:rsidRDefault="00851CFA" w:rsidP="004528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DC7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6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0CE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B63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E0B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507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0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A00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A44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C8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22EA0"/>
    <w:multiLevelType w:val="hybridMultilevel"/>
    <w:tmpl w:val="E2022A86"/>
    <w:lvl w:ilvl="0" w:tplc="95322F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E53E74"/>
    <w:multiLevelType w:val="hybridMultilevel"/>
    <w:tmpl w:val="37BEF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34582"/>
    <w:multiLevelType w:val="hybridMultilevel"/>
    <w:tmpl w:val="A01A8C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112701"/>
    <w:multiLevelType w:val="hybridMultilevel"/>
    <w:tmpl w:val="18389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9F35E2"/>
    <w:multiLevelType w:val="hybridMultilevel"/>
    <w:tmpl w:val="BFDABB18"/>
    <w:lvl w:ilvl="0" w:tplc="95322F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D511D5"/>
    <w:multiLevelType w:val="hybridMultilevel"/>
    <w:tmpl w:val="8EA4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13967"/>
    <w:multiLevelType w:val="hybridMultilevel"/>
    <w:tmpl w:val="E00CBD8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2A07B9"/>
    <w:multiLevelType w:val="hybridMultilevel"/>
    <w:tmpl w:val="6F603D12"/>
    <w:lvl w:ilvl="0" w:tplc="95322F6A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4D247A3"/>
    <w:multiLevelType w:val="hybridMultilevel"/>
    <w:tmpl w:val="0540C6B2"/>
    <w:lvl w:ilvl="0" w:tplc="95322F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2372C"/>
    <w:multiLevelType w:val="hybridMultilevel"/>
    <w:tmpl w:val="B89A84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2A24FB"/>
    <w:multiLevelType w:val="hybridMultilevel"/>
    <w:tmpl w:val="35FC7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192722"/>
    <w:multiLevelType w:val="hybridMultilevel"/>
    <w:tmpl w:val="EEB2E99A"/>
    <w:lvl w:ilvl="0" w:tplc="95322F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6C7576"/>
    <w:multiLevelType w:val="hybridMultilevel"/>
    <w:tmpl w:val="63007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569BF6">
      <w:numFmt w:val="bullet"/>
      <w:lvlText w:val="•"/>
      <w:lvlJc w:val="left"/>
      <w:pPr>
        <w:ind w:left="1440" w:hanging="720"/>
      </w:pPr>
      <w:rPr>
        <w:rFonts w:ascii="EUAlbertina" w:eastAsia="Times New Roman" w:hAnsi="EUAlberti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126DB7"/>
    <w:multiLevelType w:val="hybridMultilevel"/>
    <w:tmpl w:val="053E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6"/>
  </w:num>
  <w:num w:numId="5">
    <w:abstractNumId w:val="22"/>
  </w:num>
  <w:num w:numId="6">
    <w:abstractNumId w:val="13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10"/>
  </w:num>
  <w:num w:numId="12">
    <w:abstractNumId w:val="23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528F4"/>
    <w:rsid w:val="00021739"/>
    <w:rsid w:val="00021D06"/>
    <w:rsid w:val="000228FE"/>
    <w:rsid w:val="00025265"/>
    <w:rsid w:val="000434BE"/>
    <w:rsid w:val="00047832"/>
    <w:rsid w:val="00054FC2"/>
    <w:rsid w:val="000638ED"/>
    <w:rsid w:val="0009565A"/>
    <w:rsid w:val="000A7658"/>
    <w:rsid w:val="000B0963"/>
    <w:rsid w:val="000B3045"/>
    <w:rsid w:val="000B72BD"/>
    <w:rsid w:val="000C47EB"/>
    <w:rsid w:val="000C796B"/>
    <w:rsid w:val="000D481E"/>
    <w:rsid w:val="00100898"/>
    <w:rsid w:val="00101482"/>
    <w:rsid w:val="001048A4"/>
    <w:rsid w:val="00123284"/>
    <w:rsid w:val="00170CA9"/>
    <w:rsid w:val="0018374E"/>
    <w:rsid w:val="001942D2"/>
    <w:rsid w:val="001A607C"/>
    <w:rsid w:val="001C4B56"/>
    <w:rsid w:val="00203F7C"/>
    <w:rsid w:val="00205306"/>
    <w:rsid w:val="0020599F"/>
    <w:rsid w:val="00263970"/>
    <w:rsid w:val="002B472B"/>
    <w:rsid w:val="002C22E9"/>
    <w:rsid w:val="002D67C2"/>
    <w:rsid w:val="00303FAB"/>
    <w:rsid w:val="00312A3B"/>
    <w:rsid w:val="003255E4"/>
    <w:rsid w:val="00334AEB"/>
    <w:rsid w:val="003359BA"/>
    <w:rsid w:val="0033676A"/>
    <w:rsid w:val="003420B8"/>
    <w:rsid w:val="00342C02"/>
    <w:rsid w:val="00370E9A"/>
    <w:rsid w:val="00372A7C"/>
    <w:rsid w:val="003A0FD7"/>
    <w:rsid w:val="003B6270"/>
    <w:rsid w:val="004305C3"/>
    <w:rsid w:val="0044188D"/>
    <w:rsid w:val="004528F4"/>
    <w:rsid w:val="004721A1"/>
    <w:rsid w:val="0048427B"/>
    <w:rsid w:val="004934B4"/>
    <w:rsid w:val="004A4F51"/>
    <w:rsid w:val="004C1FC5"/>
    <w:rsid w:val="004E43F0"/>
    <w:rsid w:val="005351BF"/>
    <w:rsid w:val="00564609"/>
    <w:rsid w:val="00595F04"/>
    <w:rsid w:val="005A6F52"/>
    <w:rsid w:val="005C36C8"/>
    <w:rsid w:val="005C4D35"/>
    <w:rsid w:val="005D762E"/>
    <w:rsid w:val="005F0B76"/>
    <w:rsid w:val="005F5A25"/>
    <w:rsid w:val="006041D1"/>
    <w:rsid w:val="006255C7"/>
    <w:rsid w:val="00631104"/>
    <w:rsid w:val="00632CDE"/>
    <w:rsid w:val="006417D0"/>
    <w:rsid w:val="00644819"/>
    <w:rsid w:val="0066576C"/>
    <w:rsid w:val="006716EB"/>
    <w:rsid w:val="00684874"/>
    <w:rsid w:val="006902C0"/>
    <w:rsid w:val="006941C2"/>
    <w:rsid w:val="00696CD8"/>
    <w:rsid w:val="006B106B"/>
    <w:rsid w:val="00724FB8"/>
    <w:rsid w:val="00730A85"/>
    <w:rsid w:val="00735B82"/>
    <w:rsid w:val="007365C4"/>
    <w:rsid w:val="007562BC"/>
    <w:rsid w:val="007618BF"/>
    <w:rsid w:val="00761AB5"/>
    <w:rsid w:val="0076360A"/>
    <w:rsid w:val="007673AF"/>
    <w:rsid w:val="007B61F8"/>
    <w:rsid w:val="007D755B"/>
    <w:rsid w:val="007E41D4"/>
    <w:rsid w:val="007F682B"/>
    <w:rsid w:val="0081411F"/>
    <w:rsid w:val="00823E72"/>
    <w:rsid w:val="00851CFA"/>
    <w:rsid w:val="00857403"/>
    <w:rsid w:val="0086542E"/>
    <w:rsid w:val="008715E6"/>
    <w:rsid w:val="0088510D"/>
    <w:rsid w:val="00885BE8"/>
    <w:rsid w:val="00887DD5"/>
    <w:rsid w:val="008B1B7F"/>
    <w:rsid w:val="008D25F4"/>
    <w:rsid w:val="008E65C0"/>
    <w:rsid w:val="008E65CC"/>
    <w:rsid w:val="00905B25"/>
    <w:rsid w:val="00911EDB"/>
    <w:rsid w:val="00923D32"/>
    <w:rsid w:val="00943D0D"/>
    <w:rsid w:val="009521F9"/>
    <w:rsid w:val="009A3D1E"/>
    <w:rsid w:val="009F7BCE"/>
    <w:rsid w:val="00A0322F"/>
    <w:rsid w:val="00A14887"/>
    <w:rsid w:val="00A40D39"/>
    <w:rsid w:val="00A444FE"/>
    <w:rsid w:val="00A6412E"/>
    <w:rsid w:val="00A73771"/>
    <w:rsid w:val="00A82F21"/>
    <w:rsid w:val="00AA08A5"/>
    <w:rsid w:val="00AB284F"/>
    <w:rsid w:val="00AB2B3E"/>
    <w:rsid w:val="00AE630A"/>
    <w:rsid w:val="00B06B7A"/>
    <w:rsid w:val="00B3033A"/>
    <w:rsid w:val="00B30849"/>
    <w:rsid w:val="00B321DB"/>
    <w:rsid w:val="00B37A26"/>
    <w:rsid w:val="00B411A6"/>
    <w:rsid w:val="00B766BB"/>
    <w:rsid w:val="00B8078C"/>
    <w:rsid w:val="00B84E66"/>
    <w:rsid w:val="00B9734E"/>
    <w:rsid w:val="00BB7B07"/>
    <w:rsid w:val="00C004B4"/>
    <w:rsid w:val="00C15322"/>
    <w:rsid w:val="00C1729C"/>
    <w:rsid w:val="00C42486"/>
    <w:rsid w:val="00C559C8"/>
    <w:rsid w:val="00C82B6F"/>
    <w:rsid w:val="00C9774F"/>
    <w:rsid w:val="00CD1685"/>
    <w:rsid w:val="00CE1D4F"/>
    <w:rsid w:val="00D04773"/>
    <w:rsid w:val="00D25A4F"/>
    <w:rsid w:val="00D56CB6"/>
    <w:rsid w:val="00D72580"/>
    <w:rsid w:val="00D754FB"/>
    <w:rsid w:val="00D91599"/>
    <w:rsid w:val="00D927FB"/>
    <w:rsid w:val="00DA31B7"/>
    <w:rsid w:val="00DA5FC2"/>
    <w:rsid w:val="00DB3FAC"/>
    <w:rsid w:val="00DD1A70"/>
    <w:rsid w:val="00DF05BD"/>
    <w:rsid w:val="00DF213E"/>
    <w:rsid w:val="00E02E8C"/>
    <w:rsid w:val="00E10B02"/>
    <w:rsid w:val="00E3498A"/>
    <w:rsid w:val="00E36FBC"/>
    <w:rsid w:val="00E6790A"/>
    <w:rsid w:val="00E77A39"/>
    <w:rsid w:val="00E82556"/>
    <w:rsid w:val="00E85DF6"/>
    <w:rsid w:val="00EA1F1C"/>
    <w:rsid w:val="00EA224A"/>
    <w:rsid w:val="00EC5C0B"/>
    <w:rsid w:val="00EC7639"/>
    <w:rsid w:val="00ED20A5"/>
    <w:rsid w:val="00ED5030"/>
    <w:rsid w:val="00EF59F9"/>
    <w:rsid w:val="00F00211"/>
    <w:rsid w:val="00F22FCF"/>
    <w:rsid w:val="00F25CB3"/>
    <w:rsid w:val="00F534E7"/>
    <w:rsid w:val="00F62890"/>
    <w:rsid w:val="00F703A4"/>
    <w:rsid w:val="00FA2F3B"/>
    <w:rsid w:val="00FA609E"/>
    <w:rsid w:val="00FC36B4"/>
    <w:rsid w:val="00FD41D0"/>
    <w:rsid w:val="00F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F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next w:val="Normal"/>
    <w:uiPriority w:val="99"/>
    <w:rsid w:val="004528F4"/>
    <w:pPr>
      <w:ind w:left="5103"/>
      <w:jc w:val="left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528F4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8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8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8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1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1A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532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503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63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E630A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823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F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next w:val="Normal"/>
    <w:uiPriority w:val="99"/>
    <w:rsid w:val="004528F4"/>
    <w:pPr>
      <w:ind w:left="5103"/>
      <w:jc w:val="left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528F4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28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28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8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1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1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1A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532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5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503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63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E630A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823E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public_opinion/archives/flash_arch_360_345_e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c.europa.eu/public_opinion/archives/flash_arch_360_345_en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A643-69AA-48A4-A69C-485BDBF0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Lourenco</dc:creator>
  <cp:lastModifiedBy>SZKOPANSKI Maciej (EMPL)</cp:lastModifiedBy>
  <cp:revision>4</cp:revision>
  <cp:lastPrinted>2015-11-24T08:35:00Z</cp:lastPrinted>
  <dcterms:created xsi:type="dcterms:W3CDTF">2015-12-01T11:28:00Z</dcterms:created>
  <dcterms:modified xsi:type="dcterms:W3CDTF">2015-12-01T11:36:00Z</dcterms:modified>
</cp:coreProperties>
</file>